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BEDF5" w14:textId="77777777" w:rsidR="00C1273C" w:rsidRDefault="00000000">
      <w:pPr>
        <w:spacing w:after="0" w:line="259" w:lineRule="auto"/>
        <w:ind w:left="0" w:firstLine="0"/>
      </w:pPr>
      <w:r>
        <w:rPr>
          <w:rFonts w:ascii="Arial" w:eastAsia="Arial" w:hAnsi="Arial" w:cs="Arial"/>
          <w:color w:val="000000"/>
        </w:rPr>
        <w:t xml:space="preserve"> </w:t>
      </w:r>
    </w:p>
    <w:tbl>
      <w:tblPr>
        <w:tblStyle w:val="TableGrid"/>
        <w:tblW w:w="9086" w:type="dxa"/>
        <w:tblInd w:w="6" w:type="dxa"/>
        <w:tblCellMar>
          <w:top w:w="42" w:type="dxa"/>
          <w:left w:w="179" w:type="dxa"/>
          <w:bottom w:w="0" w:type="dxa"/>
          <w:right w:w="57" w:type="dxa"/>
        </w:tblCellMar>
        <w:tblLook w:val="04A0" w:firstRow="1" w:lastRow="0" w:firstColumn="1" w:lastColumn="0" w:noHBand="0" w:noVBand="1"/>
      </w:tblPr>
      <w:tblGrid>
        <w:gridCol w:w="2452"/>
        <w:gridCol w:w="6634"/>
      </w:tblGrid>
      <w:tr w:rsidR="00C1273C" w14:paraId="3034E08F" w14:textId="77777777">
        <w:trPr>
          <w:trHeight w:val="204"/>
        </w:trPr>
        <w:tc>
          <w:tcPr>
            <w:tcW w:w="2452" w:type="dxa"/>
            <w:tcBorders>
              <w:top w:val="single" w:sz="4" w:space="0" w:color="1B3A6B"/>
              <w:left w:val="single" w:sz="4" w:space="0" w:color="1B3A6B"/>
              <w:bottom w:val="nil"/>
              <w:right w:val="nil"/>
            </w:tcBorders>
            <w:shd w:val="clear" w:color="auto" w:fill="1B3A6B"/>
          </w:tcPr>
          <w:p w14:paraId="1964C066" w14:textId="77777777" w:rsidR="00C1273C" w:rsidRDefault="00C1273C">
            <w:pPr>
              <w:spacing w:after="160" w:line="259" w:lineRule="auto"/>
              <w:ind w:left="0" w:firstLine="0"/>
            </w:pPr>
          </w:p>
        </w:tc>
        <w:tc>
          <w:tcPr>
            <w:tcW w:w="6634" w:type="dxa"/>
            <w:tcBorders>
              <w:top w:val="single" w:sz="4" w:space="0" w:color="1B3A6B"/>
              <w:left w:val="nil"/>
              <w:bottom w:val="nil"/>
              <w:right w:val="single" w:sz="4" w:space="0" w:color="1B3A6B"/>
            </w:tcBorders>
            <w:shd w:val="clear" w:color="auto" w:fill="F7F8FA"/>
          </w:tcPr>
          <w:p w14:paraId="4935CE37" w14:textId="77777777" w:rsidR="00C1273C" w:rsidRDefault="00C1273C">
            <w:pPr>
              <w:spacing w:after="160" w:line="259" w:lineRule="auto"/>
              <w:ind w:left="0" w:firstLine="0"/>
            </w:pPr>
          </w:p>
        </w:tc>
      </w:tr>
      <w:tr w:rsidR="00C1273C" w14:paraId="177222DB" w14:textId="77777777">
        <w:trPr>
          <w:trHeight w:val="3776"/>
        </w:trPr>
        <w:tc>
          <w:tcPr>
            <w:tcW w:w="2452" w:type="dxa"/>
            <w:tcBorders>
              <w:top w:val="nil"/>
              <w:left w:val="single" w:sz="4" w:space="0" w:color="1B3A6B"/>
              <w:bottom w:val="nil"/>
              <w:right w:val="single" w:sz="4" w:space="0" w:color="1B3A6B"/>
            </w:tcBorders>
            <w:shd w:val="clear" w:color="auto" w:fill="1B3A6B"/>
          </w:tcPr>
          <w:p w14:paraId="779799D9" w14:textId="77777777" w:rsidR="00C1273C" w:rsidRDefault="00000000">
            <w:pPr>
              <w:spacing w:after="235" w:line="259" w:lineRule="auto"/>
              <w:ind w:left="0" w:firstLine="0"/>
            </w:pPr>
            <w:r>
              <w:rPr>
                <w:b/>
                <w:color w:val="FFFFFF"/>
                <w:sz w:val="20"/>
              </w:rPr>
              <w:t xml:space="preserve">             LES NOTES</w:t>
            </w:r>
            <w:r>
              <w:rPr>
                <w:color w:val="FFFFFF"/>
              </w:rPr>
              <w:t xml:space="preserve"> </w:t>
            </w:r>
          </w:p>
          <w:p w14:paraId="0DF61A1D" w14:textId="77777777" w:rsidR="00C1273C" w:rsidRDefault="00000000">
            <w:pPr>
              <w:spacing w:after="0" w:line="241" w:lineRule="auto"/>
              <w:ind w:left="0" w:firstLine="0"/>
              <w:jc w:val="center"/>
            </w:pPr>
            <w:r>
              <w:rPr>
                <w:b/>
                <w:color w:val="FFFFFF"/>
                <w:sz w:val="44"/>
              </w:rPr>
              <w:t>Solutions publiques</w:t>
            </w:r>
            <w:r>
              <w:rPr>
                <w:color w:val="FFFFFF"/>
                <w:sz w:val="44"/>
              </w:rPr>
              <w:t xml:space="preserve"> </w:t>
            </w:r>
          </w:p>
          <w:p w14:paraId="35547CD0" w14:textId="77777777" w:rsidR="00C1273C" w:rsidRDefault="00000000">
            <w:pPr>
              <w:spacing w:after="0" w:line="259" w:lineRule="auto"/>
              <w:ind w:left="0" w:right="84" w:firstLine="0"/>
              <w:jc w:val="center"/>
            </w:pPr>
            <w:r>
              <w:rPr>
                <w:i/>
                <w:color w:val="A0B8D8"/>
                <w:sz w:val="17"/>
              </w:rPr>
              <w:t xml:space="preserve"> </w:t>
            </w:r>
          </w:p>
          <w:p w14:paraId="05450CD6" w14:textId="77777777" w:rsidR="00C1273C" w:rsidRDefault="00000000">
            <w:pPr>
              <w:spacing w:after="32" w:line="259" w:lineRule="auto"/>
              <w:ind w:left="0" w:firstLine="0"/>
            </w:pPr>
            <w:r>
              <w:rPr>
                <w:noProof/>
              </w:rPr>
              <w:drawing>
                <wp:inline distT="0" distB="0" distL="0" distR="0" wp14:anchorId="1677D236" wp14:editId="0DC82A60">
                  <wp:extent cx="1380871" cy="591820"/>
                  <wp:effectExtent l="0" t="0" r="0" b="0"/>
                  <wp:docPr id="234" name="Picture 234"/>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7"/>
                          <a:stretch>
                            <a:fillRect/>
                          </a:stretch>
                        </pic:blipFill>
                        <pic:spPr>
                          <a:xfrm>
                            <a:off x="0" y="0"/>
                            <a:ext cx="1380871" cy="591820"/>
                          </a:xfrm>
                          <a:prstGeom prst="rect">
                            <a:avLst/>
                          </a:prstGeom>
                        </pic:spPr>
                      </pic:pic>
                    </a:graphicData>
                  </a:graphic>
                </wp:inline>
              </w:drawing>
            </w:r>
          </w:p>
          <w:p w14:paraId="450A15FB" w14:textId="77777777" w:rsidR="00C1273C" w:rsidRDefault="00000000">
            <w:pPr>
              <w:spacing w:after="32" w:line="259" w:lineRule="auto"/>
              <w:ind w:left="0" w:right="84" w:firstLine="0"/>
              <w:jc w:val="center"/>
            </w:pPr>
            <w:r>
              <w:rPr>
                <w:i/>
                <w:color w:val="A0B8D8"/>
                <w:sz w:val="17"/>
              </w:rPr>
              <w:t xml:space="preserve"> </w:t>
            </w:r>
          </w:p>
          <w:p w14:paraId="2EFA066A" w14:textId="77777777" w:rsidR="00C1273C" w:rsidRDefault="00000000">
            <w:pPr>
              <w:spacing w:after="0" w:line="259" w:lineRule="auto"/>
              <w:ind w:left="0" w:right="123" w:firstLine="0"/>
              <w:jc w:val="center"/>
            </w:pPr>
            <w:r>
              <w:rPr>
                <w:b/>
                <w:color w:val="FFFFFF"/>
              </w:rPr>
              <w:t xml:space="preserve">Note n°2  </w:t>
            </w:r>
          </w:p>
          <w:p w14:paraId="48D4EE3E" w14:textId="77777777" w:rsidR="00C1273C" w:rsidRDefault="00000000">
            <w:pPr>
              <w:spacing w:after="0" w:line="259" w:lineRule="auto"/>
              <w:ind w:left="0" w:right="121" w:firstLine="0"/>
              <w:jc w:val="center"/>
            </w:pPr>
            <w:r>
              <w:rPr>
                <w:color w:val="FFFFFF"/>
              </w:rPr>
              <w:t>1</w:t>
            </w:r>
            <w:r>
              <w:rPr>
                <w:color w:val="FFFFFF"/>
                <w:vertAlign w:val="superscript"/>
              </w:rPr>
              <w:t>er</w:t>
            </w:r>
            <w:r>
              <w:rPr>
                <w:color w:val="FFFFFF"/>
              </w:rPr>
              <w:t xml:space="preserve"> juin 2026 </w:t>
            </w:r>
          </w:p>
        </w:tc>
        <w:tc>
          <w:tcPr>
            <w:tcW w:w="6634" w:type="dxa"/>
            <w:tcBorders>
              <w:top w:val="nil"/>
              <w:left w:val="single" w:sz="4" w:space="0" w:color="1B3A6B"/>
              <w:bottom w:val="nil"/>
              <w:right w:val="single" w:sz="4" w:space="0" w:color="1B3A6B"/>
            </w:tcBorders>
            <w:shd w:val="clear" w:color="auto" w:fill="F7F8FA"/>
          </w:tcPr>
          <w:p w14:paraId="2BC4A348" w14:textId="77777777" w:rsidR="00C1273C" w:rsidRDefault="00000000">
            <w:pPr>
              <w:spacing w:after="0" w:line="259" w:lineRule="auto"/>
              <w:ind w:left="62" w:firstLine="0"/>
            </w:pPr>
            <w:r>
              <w:rPr>
                <w:b/>
                <w:color w:val="000000"/>
                <w:sz w:val="24"/>
              </w:rPr>
              <w:t>D</w:t>
            </w:r>
            <w:r>
              <w:rPr>
                <w:b/>
                <w:color w:val="000000"/>
                <w:sz w:val="19"/>
              </w:rPr>
              <w:t xml:space="preserve">E LA DEPENDANCE ALIMENTAIRE MONDIALE A LA RESILIENCE DE PROXIMITE </w:t>
            </w:r>
            <w:r>
              <w:rPr>
                <w:b/>
                <w:color w:val="000000"/>
                <w:sz w:val="24"/>
              </w:rPr>
              <w:t xml:space="preserve"> </w:t>
            </w:r>
          </w:p>
          <w:p w14:paraId="31B8C412" w14:textId="77777777" w:rsidR="00C1273C" w:rsidRDefault="00000000">
            <w:pPr>
              <w:spacing w:after="0" w:line="259" w:lineRule="auto"/>
              <w:ind w:left="62" w:firstLine="0"/>
            </w:pPr>
            <w:r>
              <w:rPr>
                <w:b/>
                <w:color w:val="000000"/>
                <w:sz w:val="24"/>
              </w:rPr>
              <w:t xml:space="preserve"> </w:t>
            </w:r>
          </w:p>
          <w:p w14:paraId="1846A1E3" w14:textId="77777777" w:rsidR="00C1273C" w:rsidRDefault="00000000">
            <w:pPr>
              <w:spacing w:after="82" w:line="239" w:lineRule="auto"/>
              <w:ind w:left="62" w:firstLine="0"/>
            </w:pPr>
            <w:r>
              <w:rPr>
                <w:b/>
                <w:color w:val="2D3748"/>
              </w:rPr>
              <w:t>Encapaciter les communes pour transformer l'action publique et alléger durablement les finances publiques</w:t>
            </w:r>
            <w:r>
              <w:rPr>
                <w:color w:val="000000"/>
              </w:rPr>
              <w:t xml:space="preserve"> </w:t>
            </w:r>
          </w:p>
          <w:p w14:paraId="68BD2F8B" w14:textId="77777777" w:rsidR="00C1273C" w:rsidRDefault="00000000">
            <w:pPr>
              <w:spacing w:after="0" w:line="259" w:lineRule="auto"/>
              <w:ind w:left="62" w:firstLine="0"/>
            </w:pPr>
            <w:r>
              <w:rPr>
                <w:i/>
                <w:color w:val="4A5568"/>
                <w:sz w:val="20"/>
              </w:rPr>
              <w:t xml:space="preserve"> </w:t>
            </w:r>
          </w:p>
          <w:p w14:paraId="3CD5DC89" w14:textId="77777777" w:rsidR="00C1273C" w:rsidRDefault="00000000">
            <w:pPr>
              <w:spacing w:after="54" w:line="259" w:lineRule="auto"/>
              <w:ind w:left="61" w:firstLine="0"/>
            </w:pPr>
            <w:r>
              <w:rPr>
                <w:noProof/>
              </w:rPr>
              <w:drawing>
                <wp:inline distT="0" distB="0" distL="0" distR="0" wp14:anchorId="530E66A9" wp14:editId="6A854DAA">
                  <wp:extent cx="3874770" cy="793750"/>
                  <wp:effectExtent l="0" t="0" r="0" b="0"/>
                  <wp:docPr id="236" name="Picture 236"/>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8"/>
                          <a:stretch>
                            <a:fillRect/>
                          </a:stretch>
                        </pic:blipFill>
                        <pic:spPr>
                          <a:xfrm>
                            <a:off x="0" y="0"/>
                            <a:ext cx="3874770" cy="793750"/>
                          </a:xfrm>
                          <a:prstGeom prst="rect">
                            <a:avLst/>
                          </a:prstGeom>
                        </pic:spPr>
                      </pic:pic>
                    </a:graphicData>
                  </a:graphic>
                </wp:inline>
              </w:drawing>
            </w:r>
          </w:p>
          <w:p w14:paraId="737A42F7" w14:textId="77777777" w:rsidR="00C1273C" w:rsidRDefault="00000000">
            <w:pPr>
              <w:spacing w:after="0" w:line="259" w:lineRule="auto"/>
              <w:ind w:left="62" w:firstLine="0"/>
            </w:pPr>
            <w:r>
              <w:rPr>
                <w:color w:val="000000"/>
              </w:rPr>
              <w:t xml:space="preserve"> </w:t>
            </w:r>
          </w:p>
          <w:p w14:paraId="3467FDB6" w14:textId="1954E297" w:rsidR="00C1273C" w:rsidRDefault="00000000" w:rsidP="00B155A8">
            <w:pPr>
              <w:spacing w:after="0" w:line="259" w:lineRule="auto"/>
            </w:pPr>
            <w:r>
              <w:rPr>
                <w:i/>
                <w:color w:val="000000"/>
              </w:rPr>
              <w:t xml:space="preserve">La note n°2 s'inscrit dans </w:t>
            </w:r>
            <w:r w:rsidR="00B155A8">
              <w:rPr>
                <w:i/>
                <w:color w:val="000000"/>
              </w:rPr>
              <w:t>un</w:t>
            </w:r>
            <w:r>
              <w:rPr>
                <w:i/>
                <w:color w:val="000000"/>
              </w:rPr>
              <w:t xml:space="preserve"> partenariat avec Géorésilience</w:t>
            </w:r>
            <w:r w:rsidR="00B155A8">
              <w:rPr>
                <w:i/>
                <w:color w:val="000000"/>
              </w:rPr>
              <w:t>.fr</w:t>
            </w:r>
            <w:r>
              <w:rPr>
                <w:i/>
                <w:color w:val="000000"/>
              </w:rPr>
              <w:t xml:space="preserve"> </w:t>
            </w:r>
          </w:p>
          <w:p w14:paraId="147CEBE3" w14:textId="685CA4CE" w:rsidR="00C1273C" w:rsidRPr="00B155A8" w:rsidRDefault="00B155A8" w:rsidP="00B155A8">
            <w:pPr>
              <w:spacing w:after="0" w:line="259" w:lineRule="auto"/>
              <w:rPr>
                <w:i/>
                <w:iCs/>
              </w:rPr>
            </w:pPr>
            <w:r w:rsidRPr="00B155A8">
              <w:rPr>
                <w:i/>
                <w:iCs/>
                <w:color w:val="000000"/>
              </w:rPr>
              <w:t>Elle a</w:t>
            </w:r>
            <w:r w:rsidRPr="00B155A8">
              <w:rPr>
                <w:i/>
                <w:iCs/>
                <w:color w:val="000000"/>
              </w:rPr>
              <w:t xml:space="preserve"> été pilotée par Marjolaine Gaudard et Alexandre Boisson Conseillers Experts Résilience territoriale de l'Open </w:t>
            </w:r>
            <w:proofErr w:type="spellStart"/>
            <w:r w:rsidRPr="00B155A8">
              <w:rPr>
                <w:i/>
                <w:iCs/>
                <w:color w:val="000000"/>
              </w:rPr>
              <w:t>Lab</w:t>
            </w:r>
            <w:proofErr w:type="spellEnd"/>
          </w:p>
        </w:tc>
      </w:tr>
      <w:tr w:rsidR="00C1273C" w14:paraId="2E5CC68C" w14:textId="77777777">
        <w:trPr>
          <w:trHeight w:val="204"/>
        </w:trPr>
        <w:tc>
          <w:tcPr>
            <w:tcW w:w="2452" w:type="dxa"/>
            <w:tcBorders>
              <w:top w:val="nil"/>
              <w:left w:val="single" w:sz="4" w:space="0" w:color="1B3A6B"/>
              <w:bottom w:val="single" w:sz="4" w:space="0" w:color="1B3A6B"/>
              <w:right w:val="single" w:sz="4" w:space="0" w:color="1B3A6B"/>
            </w:tcBorders>
            <w:shd w:val="clear" w:color="auto" w:fill="1B3A6B"/>
          </w:tcPr>
          <w:p w14:paraId="10AFF8AA" w14:textId="77777777" w:rsidR="00C1273C" w:rsidRDefault="00C1273C">
            <w:pPr>
              <w:spacing w:after="160" w:line="259" w:lineRule="auto"/>
              <w:ind w:left="0" w:firstLine="0"/>
            </w:pPr>
          </w:p>
        </w:tc>
        <w:tc>
          <w:tcPr>
            <w:tcW w:w="6634" w:type="dxa"/>
            <w:tcBorders>
              <w:top w:val="nil"/>
              <w:left w:val="single" w:sz="4" w:space="0" w:color="1B3A6B"/>
              <w:bottom w:val="single" w:sz="4" w:space="0" w:color="1B3A6B"/>
              <w:right w:val="single" w:sz="4" w:space="0" w:color="1B3A6B"/>
            </w:tcBorders>
            <w:shd w:val="clear" w:color="auto" w:fill="F7F8FA"/>
          </w:tcPr>
          <w:p w14:paraId="49E341B6" w14:textId="77777777" w:rsidR="00C1273C" w:rsidRDefault="00C1273C">
            <w:pPr>
              <w:spacing w:after="160" w:line="259" w:lineRule="auto"/>
              <w:ind w:left="0" w:firstLine="0"/>
            </w:pPr>
          </w:p>
        </w:tc>
      </w:tr>
    </w:tbl>
    <w:p w14:paraId="3839C41F" w14:textId="77777777" w:rsidR="00C1273C" w:rsidRDefault="00000000">
      <w:pPr>
        <w:spacing w:after="398" w:line="259" w:lineRule="auto"/>
        <w:ind w:left="0" w:firstLine="0"/>
      </w:pPr>
      <w:r>
        <w:rPr>
          <w:color w:val="000000"/>
        </w:rPr>
        <w:t xml:space="preserve"> </w:t>
      </w:r>
    </w:p>
    <w:p w14:paraId="1B25BC3F" w14:textId="77777777" w:rsidR="00C1273C" w:rsidRDefault="00000000">
      <w:pPr>
        <w:pStyle w:val="Titre1"/>
        <w:ind w:left="122" w:hanging="137"/>
      </w:pPr>
      <w:r>
        <w:t>— CONSTAT : UN MODÈLE COÛTEUX ET SYSTÉMIQUEMENT INCOHÉRENT</w:t>
      </w:r>
      <w:r>
        <w:rPr>
          <w:color w:val="000000"/>
        </w:rPr>
        <w:t xml:space="preserve"> </w:t>
      </w:r>
    </w:p>
    <w:p w14:paraId="11B36E58" w14:textId="77777777" w:rsidR="00C1273C" w:rsidRDefault="00000000">
      <w:pPr>
        <w:spacing w:after="204" w:line="259" w:lineRule="auto"/>
        <w:ind w:left="-29" w:right="-40" w:firstLine="0"/>
      </w:pPr>
      <w:r>
        <w:rPr>
          <w:noProof/>
          <w:color w:val="000000"/>
        </w:rPr>
        <mc:AlternateContent>
          <mc:Choice Requires="wpg">
            <w:drawing>
              <wp:inline distT="0" distB="0" distL="0" distR="0" wp14:anchorId="17015EA8" wp14:editId="2A991C17">
                <wp:extent cx="6074410" cy="12192"/>
                <wp:effectExtent l="0" t="0" r="0" b="0"/>
                <wp:docPr id="14014" name="Group 14014"/>
                <wp:cNvGraphicFramePr/>
                <a:graphic xmlns:a="http://schemas.openxmlformats.org/drawingml/2006/main">
                  <a:graphicData uri="http://schemas.microsoft.com/office/word/2010/wordprocessingGroup">
                    <wpg:wgp>
                      <wpg:cNvGrpSpPr/>
                      <wpg:grpSpPr>
                        <a:xfrm>
                          <a:off x="0" y="0"/>
                          <a:ext cx="6074410" cy="12192"/>
                          <a:chOff x="0" y="0"/>
                          <a:chExt cx="6074410" cy="12192"/>
                        </a:xfrm>
                      </wpg:grpSpPr>
                      <wps:wsp>
                        <wps:cNvPr id="16542" name="Shape 16542"/>
                        <wps:cNvSpPr/>
                        <wps:spPr>
                          <a:xfrm>
                            <a:off x="0" y="0"/>
                            <a:ext cx="6074410" cy="12192"/>
                          </a:xfrm>
                          <a:custGeom>
                            <a:avLst/>
                            <a:gdLst/>
                            <a:ahLst/>
                            <a:cxnLst/>
                            <a:rect l="0" t="0" r="0" b="0"/>
                            <a:pathLst>
                              <a:path w="6074410" h="12192">
                                <a:moveTo>
                                  <a:pt x="0" y="0"/>
                                </a:moveTo>
                                <a:lnTo>
                                  <a:pt x="6074410" y="0"/>
                                </a:lnTo>
                                <a:lnTo>
                                  <a:pt x="6074410" y="12192"/>
                                </a:lnTo>
                                <a:lnTo>
                                  <a:pt x="0" y="12192"/>
                                </a:lnTo>
                                <a:lnTo>
                                  <a:pt x="0" y="0"/>
                                </a:lnTo>
                              </a:path>
                            </a:pathLst>
                          </a:custGeom>
                          <a:ln w="0" cap="flat">
                            <a:miter lim="127000"/>
                          </a:ln>
                        </wps:spPr>
                        <wps:style>
                          <a:lnRef idx="0">
                            <a:srgbClr val="000000">
                              <a:alpha val="0"/>
                            </a:srgbClr>
                          </a:lnRef>
                          <a:fillRef idx="1">
                            <a:srgbClr val="1B3A6B"/>
                          </a:fillRef>
                          <a:effectRef idx="0">
                            <a:scrgbClr r="0" g="0" b="0"/>
                          </a:effectRef>
                          <a:fontRef idx="none"/>
                        </wps:style>
                        <wps:bodyPr/>
                      </wps:wsp>
                    </wpg:wgp>
                  </a:graphicData>
                </a:graphic>
              </wp:inline>
            </w:drawing>
          </mc:Choice>
          <mc:Fallback xmlns:a="http://schemas.openxmlformats.org/drawingml/2006/main">
            <w:pict>
              <v:group id="Group 14014" style="width:478.3pt;height:0.960022pt;mso-position-horizontal-relative:char;mso-position-vertical-relative:line" coordsize="60744,121">
                <v:shape id="Shape 16543" style="position:absolute;width:60744;height:121;left:0;top:0;" coordsize="6074410,12192" path="m0,0l6074410,0l6074410,12192l0,12192l0,0">
                  <v:stroke weight="0pt" endcap="flat" joinstyle="miter" miterlimit="10" on="false" color="#000000" opacity="0"/>
                  <v:fill on="true" color="#1b3a6b"/>
                </v:shape>
              </v:group>
            </w:pict>
          </mc:Fallback>
        </mc:AlternateContent>
      </w:r>
    </w:p>
    <w:p w14:paraId="2B9CD4F3" w14:textId="77777777" w:rsidR="00C1273C" w:rsidRDefault="00000000">
      <w:r>
        <w:t xml:space="preserve">Le modèle alimentaire contemporain génère des externalités négatives massives que personne ne comptabilise dans leur intégralité. Sa dépendance aux intrants importés et au transport routier </w:t>
      </w:r>
      <w:proofErr w:type="spellStart"/>
      <w:r>
        <w:t>longcourrier</w:t>
      </w:r>
      <w:proofErr w:type="spellEnd"/>
      <w:r>
        <w:t xml:space="preserve"> expose les approvisionnements à des chocs géopolitiques répétés — mais la fragilité logistique n'est que la face visible d'un problème plus profond.</w:t>
      </w:r>
      <w:r>
        <w:rPr>
          <w:color w:val="000000"/>
        </w:rPr>
        <w:t xml:space="preserve"> </w:t>
      </w:r>
    </w:p>
    <w:p w14:paraId="3AA243D9" w14:textId="77777777" w:rsidR="00C1273C" w:rsidRDefault="00000000">
      <w:pPr>
        <w:spacing w:after="0" w:line="259" w:lineRule="auto"/>
        <w:ind w:left="0" w:firstLine="0"/>
      </w:pPr>
      <w:r>
        <w:rPr>
          <w:color w:val="000000"/>
        </w:rPr>
        <w:t xml:space="preserve"> </w:t>
      </w:r>
    </w:p>
    <w:tbl>
      <w:tblPr>
        <w:tblStyle w:val="TableGrid"/>
        <w:tblW w:w="9259" w:type="dxa"/>
        <w:tblInd w:w="6" w:type="dxa"/>
        <w:tblCellMar>
          <w:top w:w="0" w:type="dxa"/>
          <w:left w:w="150" w:type="dxa"/>
          <w:bottom w:w="0" w:type="dxa"/>
          <w:right w:w="115" w:type="dxa"/>
        </w:tblCellMar>
        <w:tblLook w:val="04A0" w:firstRow="1" w:lastRow="0" w:firstColumn="1" w:lastColumn="0" w:noHBand="0" w:noVBand="1"/>
      </w:tblPr>
      <w:tblGrid>
        <w:gridCol w:w="4629"/>
        <w:gridCol w:w="4630"/>
      </w:tblGrid>
      <w:tr w:rsidR="00C1273C" w14:paraId="4B4E5598" w14:textId="77777777">
        <w:trPr>
          <w:trHeight w:val="2424"/>
        </w:trPr>
        <w:tc>
          <w:tcPr>
            <w:tcW w:w="4629" w:type="dxa"/>
            <w:tcBorders>
              <w:top w:val="single" w:sz="4" w:space="0" w:color="CBD5E0"/>
              <w:left w:val="single" w:sz="4" w:space="0" w:color="CBD5E0"/>
              <w:bottom w:val="single" w:sz="4" w:space="0" w:color="CBD5E0"/>
              <w:right w:val="single" w:sz="4" w:space="0" w:color="CBD5E0"/>
            </w:tcBorders>
            <w:shd w:val="clear" w:color="auto" w:fill="F7F8FA"/>
            <w:vAlign w:val="center"/>
          </w:tcPr>
          <w:p w14:paraId="7E119FF0" w14:textId="77777777" w:rsidR="00C1273C" w:rsidRDefault="00000000">
            <w:pPr>
              <w:spacing w:after="29" w:line="259" w:lineRule="auto"/>
              <w:ind w:left="0" w:firstLine="0"/>
            </w:pPr>
            <w:r>
              <w:rPr>
                <w:b/>
                <w:color w:val="1B3A6B"/>
                <w:sz w:val="21"/>
              </w:rPr>
              <w:t>Externalités négatives (portées par la collectivité)</w:t>
            </w:r>
            <w:r>
              <w:rPr>
                <w:color w:val="000000"/>
              </w:rPr>
              <w:t xml:space="preserve"> </w:t>
            </w:r>
          </w:p>
          <w:p w14:paraId="0531BEAA" w14:textId="77777777" w:rsidR="00C1273C" w:rsidRDefault="00000000">
            <w:pPr>
              <w:numPr>
                <w:ilvl w:val="0"/>
                <w:numId w:val="4"/>
              </w:numPr>
              <w:spacing w:after="38" w:line="232" w:lineRule="auto"/>
              <w:ind w:firstLine="0"/>
            </w:pPr>
            <w:r>
              <w:rPr>
                <w:sz w:val="20"/>
              </w:rPr>
              <w:t>Pathologies chroniques liées à l'alimentation industrielle — charge directe Assurance maladie</w:t>
            </w:r>
            <w:r>
              <w:rPr>
                <w:color w:val="000000"/>
              </w:rPr>
              <w:t xml:space="preserve"> </w:t>
            </w:r>
          </w:p>
          <w:p w14:paraId="606C38A0" w14:textId="77777777" w:rsidR="00C1273C" w:rsidRDefault="00000000">
            <w:pPr>
              <w:numPr>
                <w:ilvl w:val="0"/>
                <w:numId w:val="4"/>
              </w:numPr>
              <w:spacing w:after="40" w:line="232" w:lineRule="auto"/>
              <w:ind w:firstLine="0"/>
            </w:pPr>
            <w:r>
              <w:rPr>
                <w:sz w:val="20"/>
              </w:rPr>
              <w:t>Destruction des écosystèmes et perte de biodiversité agricole</w:t>
            </w:r>
            <w:r>
              <w:rPr>
                <w:color w:val="000000"/>
              </w:rPr>
              <w:t xml:space="preserve"> </w:t>
            </w:r>
          </w:p>
          <w:p w14:paraId="32C54D29" w14:textId="77777777" w:rsidR="00C1273C" w:rsidRDefault="00000000">
            <w:pPr>
              <w:numPr>
                <w:ilvl w:val="0"/>
                <w:numId w:val="4"/>
              </w:numPr>
              <w:spacing w:after="54" w:line="232" w:lineRule="auto"/>
              <w:ind w:firstLine="0"/>
            </w:pPr>
            <w:r>
              <w:rPr>
                <w:sz w:val="20"/>
              </w:rPr>
              <w:t>Désertification rurale et perte de savoir-faire alimentaires</w:t>
            </w:r>
            <w:r>
              <w:rPr>
                <w:color w:val="000000"/>
              </w:rPr>
              <w:t xml:space="preserve"> </w:t>
            </w:r>
          </w:p>
          <w:p w14:paraId="562DDB1C" w14:textId="77777777" w:rsidR="00C1273C" w:rsidRDefault="00000000">
            <w:pPr>
              <w:numPr>
                <w:ilvl w:val="0"/>
                <w:numId w:val="4"/>
              </w:numPr>
              <w:spacing w:after="0" w:line="259" w:lineRule="auto"/>
              <w:ind w:firstLine="0"/>
            </w:pPr>
            <w:r>
              <w:rPr>
                <w:sz w:val="20"/>
              </w:rPr>
              <w:t>Vulnérabilité aux chocs d'approvisionnement</w:t>
            </w:r>
            <w:r>
              <w:rPr>
                <w:color w:val="000000"/>
              </w:rPr>
              <w:t xml:space="preserve"> </w:t>
            </w:r>
          </w:p>
        </w:tc>
        <w:tc>
          <w:tcPr>
            <w:tcW w:w="4629" w:type="dxa"/>
            <w:tcBorders>
              <w:top w:val="single" w:sz="4" w:space="0" w:color="CBD5E0"/>
              <w:left w:val="single" w:sz="4" w:space="0" w:color="CBD5E0"/>
              <w:bottom w:val="single" w:sz="4" w:space="0" w:color="CBD5E0"/>
              <w:right w:val="single" w:sz="4" w:space="0" w:color="CBD5E0"/>
            </w:tcBorders>
            <w:shd w:val="clear" w:color="auto" w:fill="EDF4ED"/>
            <w:vAlign w:val="center"/>
          </w:tcPr>
          <w:p w14:paraId="383BAA5F" w14:textId="77777777" w:rsidR="00C1273C" w:rsidRDefault="00000000">
            <w:pPr>
              <w:spacing w:after="29" w:line="259" w:lineRule="auto"/>
              <w:ind w:left="1" w:firstLine="0"/>
            </w:pPr>
            <w:r>
              <w:rPr>
                <w:b/>
                <w:color w:val="2E5D2E"/>
                <w:sz w:val="21"/>
              </w:rPr>
              <w:t>Externalités positives (si résilience locale)</w:t>
            </w:r>
            <w:r>
              <w:rPr>
                <w:color w:val="000000"/>
              </w:rPr>
              <w:t xml:space="preserve"> </w:t>
            </w:r>
          </w:p>
          <w:p w14:paraId="6403D93F" w14:textId="77777777" w:rsidR="00C1273C" w:rsidRDefault="00000000">
            <w:pPr>
              <w:numPr>
                <w:ilvl w:val="0"/>
                <w:numId w:val="5"/>
              </w:numPr>
              <w:spacing w:after="38" w:line="232" w:lineRule="auto"/>
              <w:ind w:firstLine="0"/>
            </w:pPr>
            <w:r>
              <w:rPr>
                <w:sz w:val="20"/>
              </w:rPr>
              <w:t>Réduction mesurable des dépenses de santé préventive</w:t>
            </w:r>
            <w:r>
              <w:rPr>
                <w:color w:val="000000"/>
              </w:rPr>
              <w:t xml:space="preserve"> </w:t>
            </w:r>
          </w:p>
          <w:p w14:paraId="02B244D2" w14:textId="77777777" w:rsidR="00C1273C" w:rsidRDefault="00000000">
            <w:pPr>
              <w:numPr>
                <w:ilvl w:val="0"/>
                <w:numId w:val="5"/>
              </w:numPr>
              <w:spacing w:after="57" w:line="232" w:lineRule="auto"/>
              <w:ind w:firstLine="0"/>
            </w:pPr>
            <w:r>
              <w:rPr>
                <w:sz w:val="20"/>
              </w:rPr>
              <w:t>Restauration des écosystèmes et du lien social territorial</w:t>
            </w:r>
            <w:r>
              <w:rPr>
                <w:color w:val="000000"/>
              </w:rPr>
              <w:t xml:space="preserve"> </w:t>
            </w:r>
          </w:p>
          <w:p w14:paraId="0C06D43B" w14:textId="77777777" w:rsidR="00C1273C" w:rsidRDefault="00000000">
            <w:pPr>
              <w:numPr>
                <w:ilvl w:val="0"/>
                <w:numId w:val="5"/>
              </w:numPr>
              <w:spacing w:after="7" w:line="259" w:lineRule="auto"/>
              <w:ind w:firstLine="0"/>
            </w:pPr>
            <w:r>
              <w:rPr>
                <w:sz w:val="20"/>
              </w:rPr>
              <w:t>Emplois non-délocalisables dans les filières courtes</w:t>
            </w:r>
            <w:r>
              <w:rPr>
                <w:color w:val="000000"/>
              </w:rPr>
              <w:t xml:space="preserve"> </w:t>
            </w:r>
          </w:p>
          <w:p w14:paraId="7D0887CA" w14:textId="77777777" w:rsidR="00C1273C" w:rsidRDefault="00000000">
            <w:pPr>
              <w:numPr>
                <w:ilvl w:val="0"/>
                <w:numId w:val="5"/>
              </w:numPr>
              <w:spacing w:after="0" w:line="259" w:lineRule="auto"/>
              <w:ind w:firstLine="0"/>
            </w:pPr>
            <w:r>
              <w:rPr>
                <w:sz w:val="20"/>
              </w:rPr>
              <w:t>Capacité des territoires à absorber les crises sans rupture</w:t>
            </w:r>
            <w:r>
              <w:rPr>
                <w:color w:val="000000"/>
              </w:rPr>
              <w:t xml:space="preserve"> </w:t>
            </w:r>
          </w:p>
        </w:tc>
      </w:tr>
    </w:tbl>
    <w:p w14:paraId="173697A4" w14:textId="77777777" w:rsidR="00C1273C" w:rsidRDefault="00000000">
      <w:pPr>
        <w:spacing w:after="139" w:line="259" w:lineRule="auto"/>
        <w:ind w:left="0" w:firstLine="0"/>
      </w:pPr>
      <w:r>
        <w:rPr>
          <w:color w:val="000000"/>
        </w:rPr>
        <w:t xml:space="preserve"> </w:t>
      </w:r>
    </w:p>
    <w:p w14:paraId="246425E1" w14:textId="77777777" w:rsidR="00C1273C" w:rsidRDefault="00000000">
      <w:pPr>
        <w:pBdr>
          <w:top w:val="single" w:sz="12" w:space="0" w:color="1B3A6B"/>
          <w:left w:val="single" w:sz="4" w:space="0" w:color="CBD5E0"/>
          <w:bottom w:val="single" w:sz="4" w:space="0" w:color="CBD5E0"/>
          <w:right w:val="single" w:sz="4" w:space="0" w:color="CBD5E0"/>
        </w:pBdr>
        <w:shd w:val="clear" w:color="auto" w:fill="EBF0F9"/>
        <w:spacing w:after="47"/>
        <w:ind w:left="116" w:right="220"/>
      </w:pPr>
      <w:r>
        <w:rPr>
          <w:i/>
          <w:color w:val="2D3748"/>
        </w:rPr>
        <w:t>« Nul n'a dans les faits en charge cette régulation globale. Nul n'est réellement sanctionné ou récompensé pour la non-atteinte ou l'atteinte de ces objectifs. L'absence de boussole économique produit l'inefficience systémique. »</w:t>
      </w:r>
      <w:r>
        <w:rPr>
          <w:color w:val="000000"/>
        </w:rPr>
        <w:t xml:space="preserve"> </w:t>
      </w:r>
    </w:p>
    <w:p w14:paraId="310DDE2A" w14:textId="77777777" w:rsidR="00C1273C" w:rsidRDefault="00000000">
      <w:pPr>
        <w:pBdr>
          <w:top w:val="single" w:sz="12" w:space="0" w:color="1B3A6B"/>
          <w:left w:val="single" w:sz="4" w:space="0" w:color="CBD5E0"/>
          <w:bottom w:val="single" w:sz="4" w:space="0" w:color="CBD5E0"/>
          <w:right w:val="single" w:sz="4" w:space="0" w:color="CBD5E0"/>
        </w:pBdr>
        <w:shd w:val="clear" w:color="auto" w:fill="EBF0F9"/>
        <w:spacing w:after="257" w:line="259" w:lineRule="auto"/>
        <w:ind w:left="116" w:right="220"/>
        <w:jc w:val="right"/>
      </w:pPr>
      <w:r>
        <w:rPr>
          <w:color w:val="4A5568"/>
          <w:sz w:val="20"/>
        </w:rPr>
        <w:t xml:space="preserve">— Note n°2, Solutions publiques / </w:t>
      </w:r>
      <w:proofErr w:type="spellStart"/>
      <w:r>
        <w:rPr>
          <w:color w:val="4A5568"/>
          <w:sz w:val="20"/>
        </w:rPr>
        <w:t>Géorésilience</w:t>
      </w:r>
      <w:proofErr w:type="spellEnd"/>
      <w:r>
        <w:rPr>
          <w:color w:val="000000"/>
        </w:rPr>
        <w:t xml:space="preserve"> </w:t>
      </w:r>
    </w:p>
    <w:p w14:paraId="7C10B849" w14:textId="77777777" w:rsidR="00C1273C" w:rsidRDefault="00000000">
      <w:pPr>
        <w:spacing w:after="398" w:line="259" w:lineRule="auto"/>
        <w:ind w:left="0" w:firstLine="0"/>
      </w:pPr>
      <w:r>
        <w:rPr>
          <w:color w:val="000000"/>
        </w:rPr>
        <w:t xml:space="preserve"> </w:t>
      </w:r>
    </w:p>
    <w:p w14:paraId="287AD037" w14:textId="77777777" w:rsidR="00C1273C" w:rsidRDefault="00000000">
      <w:pPr>
        <w:pStyle w:val="Titre1"/>
        <w:ind w:left="197" w:hanging="212"/>
      </w:pPr>
      <w:r>
        <w:lastRenderedPageBreak/>
        <w:t>— HYPOTHÈSE : LA SUBSIDIARITÉ COMME LEVIER D'EFFICIENCE PUBLIQUE</w:t>
      </w:r>
      <w:r>
        <w:rPr>
          <w:color w:val="000000"/>
        </w:rPr>
        <w:t xml:space="preserve"> </w:t>
      </w:r>
    </w:p>
    <w:p w14:paraId="0A92A606" w14:textId="77777777" w:rsidR="00C1273C" w:rsidRDefault="00000000">
      <w:pPr>
        <w:spacing w:after="204" w:line="259" w:lineRule="auto"/>
        <w:ind w:left="-29" w:right="-40" w:firstLine="0"/>
      </w:pPr>
      <w:r>
        <w:rPr>
          <w:noProof/>
          <w:color w:val="000000"/>
        </w:rPr>
        <mc:AlternateContent>
          <mc:Choice Requires="wpg">
            <w:drawing>
              <wp:inline distT="0" distB="0" distL="0" distR="0" wp14:anchorId="4ED755A7" wp14:editId="35FDC375">
                <wp:extent cx="6074410" cy="12192"/>
                <wp:effectExtent l="0" t="0" r="0" b="0"/>
                <wp:docPr id="14015" name="Group 14015"/>
                <wp:cNvGraphicFramePr/>
                <a:graphic xmlns:a="http://schemas.openxmlformats.org/drawingml/2006/main">
                  <a:graphicData uri="http://schemas.microsoft.com/office/word/2010/wordprocessingGroup">
                    <wpg:wgp>
                      <wpg:cNvGrpSpPr/>
                      <wpg:grpSpPr>
                        <a:xfrm>
                          <a:off x="0" y="0"/>
                          <a:ext cx="6074410" cy="12192"/>
                          <a:chOff x="0" y="0"/>
                          <a:chExt cx="6074410" cy="12192"/>
                        </a:xfrm>
                      </wpg:grpSpPr>
                      <wps:wsp>
                        <wps:cNvPr id="16560" name="Shape 16560"/>
                        <wps:cNvSpPr/>
                        <wps:spPr>
                          <a:xfrm>
                            <a:off x="0" y="0"/>
                            <a:ext cx="6074410" cy="12192"/>
                          </a:xfrm>
                          <a:custGeom>
                            <a:avLst/>
                            <a:gdLst/>
                            <a:ahLst/>
                            <a:cxnLst/>
                            <a:rect l="0" t="0" r="0" b="0"/>
                            <a:pathLst>
                              <a:path w="6074410" h="12192">
                                <a:moveTo>
                                  <a:pt x="0" y="0"/>
                                </a:moveTo>
                                <a:lnTo>
                                  <a:pt x="6074410" y="0"/>
                                </a:lnTo>
                                <a:lnTo>
                                  <a:pt x="6074410" y="12192"/>
                                </a:lnTo>
                                <a:lnTo>
                                  <a:pt x="0" y="12192"/>
                                </a:lnTo>
                                <a:lnTo>
                                  <a:pt x="0" y="0"/>
                                </a:lnTo>
                              </a:path>
                            </a:pathLst>
                          </a:custGeom>
                          <a:ln w="0" cap="flat">
                            <a:miter lim="127000"/>
                          </a:ln>
                        </wps:spPr>
                        <wps:style>
                          <a:lnRef idx="0">
                            <a:srgbClr val="000000">
                              <a:alpha val="0"/>
                            </a:srgbClr>
                          </a:lnRef>
                          <a:fillRef idx="1">
                            <a:srgbClr val="1B3A6B"/>
                          </a:fillRef>
                          <a:effectRef idx="0">
                            <a:scrgbClr r="0" g="0" b="0"/>
                          </a:effectRef>
                          <a:fontRef idx="none"/>
                        </wps:style>
                        <wps:bodyPr/>
                      </wps:wsp>
                    </wpg:wgp>
                  </a:graphicData>
                </a:graphic>
              </wp:inline>
            </w:drawing>
          </mc:Choice>
          <mc:Fallback xmlns:a="http://schemas.openxmlformats.org/drawingml/2006/main">
            <w:pict>
              <v:group id="Group 14015" style="width:478.3pt;height:0.960022pt;mso-position-horizontal-relative:char;mso-position-vertical-relative:line" coordsize="60744,121">
                <v:shape id="Shape 16561" style="position:absolute;width:60744;height:121;left:0;top:0;" coordsize="6074410,12192" path="m0,0l6074410,0l6074410,12192l0,12192l0,0">
                  <v:stroke weight="0pt" endcap="flat" joinstyle="miter" miterlimit="10" on="false" color="#000000" opacity="0"/>
                  <v:fill on="true" color="#1b3a6b"/>
                </v:shape>
              </v:group>
            </w:pict>
          </mc:Fallback>
        </mc:AlternateContent>
      </w:r>
    </w:p>
    <w:p w14:paraId="36F7F811" w14:textId="77777777" w:rsidR="00C1273C" w:rsidRDefault="00000000">
      <w:r>
        <w:t>La résilience alimentaire ne peut être décrétée d'en haut. Elle repose sur l'</w:t>
      </w:r>
      <w:proofErr w:type="spellStart"/>
      <w:r>
        <w:t>encapacitation</w:t>
      </w:r>
      <w:proofErr w:type="spellEnd"/>
      <w:r>
        <w:t xml:space="preserve"> : donner aux habitants, aux communes et aux élus les moyens concrets d'agir. Ce principe de subsidiarité ascendante — que Régis Passerieux défend comme colonne vertébrale de la refondation publique — est le fil conducteur de la démarche </w:t>
      </w:r>
      <w:proofErr w:type="spellStart"/>
      <w:r>
        <w:t>Géorésilience</w:t>
      </w:r>
      <w:proofErr w:type="spellEnd"/>
      <w:r>
        <w:t>.</w:t>
      </w:r>
      <w:r>
        <w:rPr>
          <w:color w:val="000000"/>
        </w:rPr>
        <w:t xml:space="preserve"> </w:t>
      </w:r>
    </w:p>
    <w:p w14:paraId="61F46D61" w14:textId="77777777" w:rsidR="00C1273C" w:rsidRDefault="00000000">
      <w:r>
        <w:t xml:space="preserve">L'État, dans cette logique, n'est plus opérateur direct : il est architecte du cadre, garant de la cohérence inter-institutionnelle, et incitateur mesuré. La commune reste l'échelon naturel de l'action, à condition d'être dotée d'une ingénierie légère et d'objectifs </w:t>
      </w:r>
      <w:proofErr w:type="spellStart"/>
      <w:r>
        <w:t>co-construits</w:t>
      </w:r>
      <w:proofErr w:type="spellEnd"/>
      <w:r>
        <w:t xml:space="preserve"> — non imposés.</w:t>
      </w:r>
      <w:r>
        <w:rPr>
          <w:color w:val="000000"/>
        </w:rPr>
        <w:t xml:space="preserve"> </w:t>
      </w:r>
    </w:p>
    <w:p w14:paraId="79150DD5" w14:textId="77777777" w:rsidR="00C1273C" w:rsidRDefault="00000000">
      <w:pPr>
        <w:spacing w:after="117" w:line="259" w:lineRule="auto"/>
        <w:ind w:left="0" w:firstLine="0"/>
      </w:pPr>
      <w:r>
        <w:rPr>
          <w:color w:val="000000"/>
        </w:rPr>
        <w:t xml:space="preserve"> </w:t>
      </w:r>
    </w:p>
    <w:p w14:paraId="37C09E4A" w14:textId="77777777" w:rsidR="00C1273C" w:rsidRDefault="00000000">
      <w:pPr>
        <w:pStyle w:val="Titre2"/>
        <w:pBdr>
          <w:top w:val="single" w:sz="4" w:space="0" w:color="1B3A6B"/>
          <w:left w:val="single" w:sz="4" w:space="0" w:color="1B3A6B"/>
          <w:bottom w:val="single" w:sz="4" w:space="0" w:color="1B3A6B"/>
          <w:right w:val="single" w:sz="4" w:space="0" w:color="1B3A6B"/>
        </w:pBdr>
        <w:shd w:val="clear" w:color="auto" w:fill="EBF0F9"/>
        <w:spacing w:after="47"/>
        <w:ind w:left="201" w:right="328" w:firstLine="0"/>
      </w:pPr>
      <w:r>
        <w:rPr>
          <w:sz w:val="22"/>
        </w:rPr>
        <w:t>Le diagnostic partagé avec l'Institut pour la Refondation Publique</w:t>
      </w:r>
      <w:r>
        <w:rPr>
          <w:b w:val="0"/>
          <w:color w:val="000000"/>
          <w:sz w:val="22"/>
        </w:rPr>
        <w:t xml:space="preserve"> </w:t>
      </w:r>
    </w:p>
    <w:p w14:paraId="738544BC" w14:textId="77777777" w:rsidR="00C1273C" w:rsidRDefault="00000000">
      <w:pPr>
        <w:pBdr>
          <w:top w:val="single" w:sz="4" w:space="0" w:color="1B3A6B"/>
          <w:left w:val="single" w:sz="4" w:space="0" w:color="1B3A6B"/>
          <w:bottom w:val="single" w:sz="4" w:space="0" w:color="1B3A6B"/>
          <w:right w:val="single" w:sz="4" w:space="0" w:color="1B3A6B"/>
        </w:pBdr>
        <w:shd w:val="clear" w:color="auto" w:fill="EBF0F9"/>
        <w:spacing w:after="35" w:line="237" w:lineRule="auto"/>
        <w:ind w:left="211" w:right="328"/>
      </w:pPr>
      <w:r>
        <w:rPr>
          <w:color w:val="2D3748"/>
          <w:sz w:val="21"/>
        </w:rPr>
        <w:t>La crise de l'action publique n'est pas une crise de moyens — c'est une crise de cohérence systémique.</w:t>
      </w:r>
      <w:r>
        <w:rPr>
          <w:color w:val="000000"/>
        </w:rPr>
        <w:t xml:space="preserve"> </w:t>
      </w:r>
      <w:r>
        <w:rPr>
          <w:color w:val="2D3748"/>
          <w:sz w:val="21"/>
        </w:rPr>
        <w:t>Les politiques alimentaires, sanitaires, environnementales et rurales partagent les mêmes territoires mais opèrent en silos, sans mesure transversale de leurs effets combinés.</w:t>
      </w:r>
      <w:r>
        <w:rPr>
          <w:color w:val="000000"/>
        </w:rPr>
        <w:t xml:space="preserve"> </w:t>
      </w:r>
    </w:p>
    <w:p w14:paraId="5AAAE7EA" w14:textId="77777777" w:rsidR="00C1273C" w:rsidRDefault="00000000">
      <w:pPr>
        <w:pBdr>
          <w:top w:val="single" w:sz="4" w:space="0" w:color="1B3A6B"/>
          <w:left w:val="single" w:sz="4" w:space="0" w:color="1B3A6B"/>
          <w:bottom w:val="single" w:sz="4" w:space="0" w:color="1B3A6B"/>
          <w:right w:val="single" w:sz="4" w:space="0" w:color="1B3A6B"/>
        </w:pBdr>
        <w:shd w:val="clear" w:color="auto" w:fill="EBF0F9"/>
        <w:spacing w:after="329" w:line="237" w:lineRule="auto"/>
        <w:ind w:left="211" w:right="328"/>
      </w:pPr>
      <w:r>
        <w:rPr>
          <w:color w:val="2D3748"/>
          <w:sz w:val="21"/>
        </w:rPr>
        <w:t>La résilience alimentaire est un terrain d'expérimentation privilégié de la refondation : ses bénéfices sont multi-sectoriels, ses coûts sont socialisés, et sa mise en cohérence ne requiert pas de grand soir législatif.</w:t>
      </w:r>
      <w:r>
        <w:rPr>
          <w:color w:val="000000"/>
        </w:rPr>
        <w:t xml:space="preserve"> </w:t>
      </w:r>
    </w:p>
    <w:p w14:paraId="698FF384" w14:textId="77777777" w:rsidR="00C1273C" w:rsidRDefault="00000000">
      <w:pPr>
        <w:spacing w:after="398" w:line="259" w:lineRule="auto"/>
        <w:ind w:left="0" w:firstLine="0"/>
      </w:pPr>
      <w:r>
        <w:rPr>
          <w:color w:val="000000"/>
        </w:rPr>
        <w:t xml:space="preserve"> </w:t>
      </w:r>
    </w:p>
    <w:p w14:paraId="527E044A" w14:textId="77777777" w:rsidR="00C1273C" w:rsidRDefault="00000000">
      <w:pPr>
        <w:pStyle w:val="Titre1"/>
        <w:ind w:left="271" w:hanging="286"/>
      </w:pPr>
      <w:r>
        <w:t>— LA DÉMARCHE GÉORÉSILIENCE : CONGRUENCE ET ENCAPACITATION</w:t>
      </w:r>
      <w:r>
        <w:rPr>
          <w:color w:val="000000"/>
        </w:rPr>
        <w:t xml:space="preserve"> </w:t>
      </w:r>
    </w:p>
    <w:p w14:paraId="477775F5" w14:textId="77777777" w:rsidR="00C1273C" w:rsidRDefault="00000000">
      <w:pPr>
        <w:spacing w:after="204" w:line="259" w:lineRule="auto"/>
        <w:ind w:left="-29" w:right="-40" w:firstLine="0"/>
      </w:pPr>
      <w:r>
        <w:rPr>
          <w:noProof/>
          <w:color w:val="000000"/>
        </w:rPr>
        <mc:AlternateContent>
          <mc:Choice Requires="wpg">
            <w:drawing>
              <wp:inline distT="0" distB="0" distL="0" distR="0" wp14:anchorId="63402689" wp14:editId="2F13371A">
                <wp:extent cx="6074410" cy="12192"/>
                <wp:effectExtent l="0" t="0" r="0" b="0"/>
                <wp:docPr id="13854" name="Group 13854"/>
                <wp:cNvGraphicFramePr/>
                <a:graphic xmlns:a="http://schemas.openxmlformats.org/drawingml/2006/main">
                  <a:graphicData uri="http://schemas.microsoft.com/office/word/2010/wordprocessingGroup">
                    <wpg:wgp>
                      <wpg:cNvGrpSpPr/>
                      <wpg:grpSpPr>
                        <a:xfrm>
                          <a:off x="0" y="0"/>
                          <a:ext cx="6074410" cy="12192"/>
                          <a:chOff x="0" y="0"/>
                          <a:chExt cx="6074410" cy="12192"/>
                        </a:xfrm>
                      </wpg:grpSpPr>
                      <wps:wsp>
                        <wps:cNvPr id="16562" name="Shape 16562"/>
                        <wps:cNvSpPr/>
                        <wps:spPr>
                          <a:xfrm>
                            <a:off x="0" y="0"/>
                            <a:ext cx="6074410" cy="12192"/>
                          </a:xfrm>
                          <a:custGeom>
                            <a:avLst/>
                            <a:gdLst/>
                            <a:ahLst/>
                            <a:cxnLst/>
                            <a:rect l="0" t="0" r="0" b="0"/>
                            <a:pathLst>
                              <a:path w="6074410" h="12192">
                                <a:moveTo>
                                  <a:pt x="0" y="0"/>
                                </a:moveTo>
                                <a:lnTo>
                                  <a:pt x="6074410" y="0"/>
                                </a:lnTo>
                                <a:lnTo>
                                  <a:pt x="6074410" y="12192"/>
                                </a:lnTo>
                                <a:lnTo>
                                  <a:pt x="0" y="12192"/>
                                </a:lnTo>
                                <a:lnTo>
                                  <a:pt x="0" y="0"/>
                                </a:lnTo>
                              </a:path>
                            </a:pathLst>
                          </a:custGeom>
                          <a:ln w="0" cap="flat">
                            <a:miter lim="127000"/>
                          </a:ln>
                        </wps:spPr>
                        <wps:style>
                          <a:lnRef idx="0">
                            <a:srgbClr val="000000">
                              <a:alpha val="0"/>
                            </a:srgbClr>
                          </a:lnRef>
                          <a:fillRef idx="1">
                            <a:srgbClr val="1B3A6B"/>
                          </a:fillRef>
                          <a:effectRef idx="0">
                            <a:scrgbClr r="0" g="0" b="0"/>
                          </a:effectRef>
                          <a:fontRef idx="none"/>
                        </wps:style>
                        <wps:bodyPr/>
                      </wps:wsp>
                    </wpg:wgp>
                  </a:graphicData>
                </a:graphic>
              </wp:inline>
            </w:drawing>
          </mc:Choice>
          <mc:Fallback xmlns:a="http://schemas.openxmlformats.org/drawingml/2006/main">
            <w:pict>
              <v:group id="Group 13854" style="width:478.3pt;height:0.960022pt;mso-position-horizontal-relative:char;mso-position-vertical-relative:line" coordsize="60744,121">
                <v:shape id="Shape 16563" style="position:absolute;width:60744;height:121;left:0;top:0;" coordsize="6074410,12192" path="m0,0l6074410,0l6074410,12192l0,12192l0,0">
                  <v:stroke weight="0pt" endcap="flat" joinstyle="miter" miterlimit="10" on="false" color="#000000" opacity="0"/>
                  <v:fill on="true" color="#1b3a6b"/>
                </v:shape>
              </v:group>
            </w:pict>
          </mc:Fallback>
        </mc:AlternateContent>
      </w:r>
    </w:p>
    <w:p w14:paraId="4CF50122" w14:textId="77777777" w:rsidR="00C1273C" w:rsidRDefault="00000000">
      <w:proofErr w:type="spellStart"/>
      <w:r>
        <w:t>Géorésilience</w:t>
      </w:r>
      <w:proofErr w:type="spellEnd"/>
      <w:r>
        <w:t xml:space="preserve"> ne crée pas de dispositif concurrent. Elle amplifie et met en cohérence ce qui existe déjà — en travaillant trois niveaux de congruence que la démarche de Dominique Hays sur les transitions alimentaires de territoire a permis d'identifier :</w:t>
      </w:r>
      <w:r>
        <w:rPr>
          <w:color w:val="000000"/>
        </w:rPr>
        <w:t xml:space="preserve"> </w:t>
      </w:r>
    </w:p>
    <w:p w14:paraId="6E3959FA" w14:textId="77777777" w:rsidR="00C1273C" w:rsidRDefault="00000000">
      <w:pPr>
        <w:spacing w:after="0" w:line="259" w:lineRule="auto"/>
        <w:ind w:left="0" w:firstLine="0"/>
      </w:pPr>
      <w:r>
        <w:rPr>
          <w:color w:val="000000"/>
        </w:rPr>
        <w:t xml:space="preserve"> </w:t>
      </w:r>
    </w:p>
    <w:p w14:paraId="293DC9DA" w14:textId="77777777" w:rsidR="00C1273C" w:rsidRDefault="00000000">
      <w:pPr>
        <w:numPr>
          <w:ilvl w:val="0"/>
          <w:numId w:val="1"/>
        </w:numPr>
        <w:spacing w:after="75"/>
        <w:ind w:hanging="360"/>
      </w:pPr>
      <w:r>
        <w:t>Congruence budgétaire : croiser les financements sectoriels (santé, agriculture, écologie, cohésion) sur des objectifs territoriaux partagés, là où ils convergent sans que personne ne l'ait encore organisé.</w:t>
      </w:r>
      <w:r>
        <w:rPr>
          <w:color w:val="000000"/>
        </w:rPr>
        <w:t xml:space="preserve"> </w:t>
      </w:r>
    </w:p>
    <w:p w14:paraId="427577C1" w14:textId="77777777" w:rsidR="00C1273C" w:rsidRDefault="00000000">
      <w:pPr>
        <w:numPr>
          <w:ilvl w:val="0"/>
          <w:numId w:val="1"/>
        </w:numPr>
        <w:spacing w:after="61"/>
        <w:ind w:hanging="360"/>
      </w:pPr>
      <w:r>
        <w:t>Congruence réglementaire : rendre opérationnelles les dispositions existantes sous-utilisées, par des évolutions ciblées plutôt que par de nouveaux textes.</w:t>
      </w:r>
      <w:r>
        <w:rPr>
          <w:color w:val="000000"/>
        </w:rPr>
        <w:t xml:space="preserve"> </w:t>
      </w:r>
    </w:p>
    <w:p w14:paraId="2F7FEC80" w14:textId="77777777" w:rsidR="00C1273C" w:rsidRDefault="00000000">
      <w:pPr>
        <w:numPr>
          <w:ilvl w:val="0"/>
          <w:numId w:val="1"/>
        </w:numPr>
        <w:spacing w:after="79" w:line="239" w:lineRule="auto"/>
        <w:ind w:hanging="360"/>
      </w:pPr>
      <w:r>
        <w:t>Congruence des acteurs : créer les espaces de compréhension mutuelle entre institutions qui partagent les mêmes territoires mais s'ignorent — ARS, collectivités, France Travail, opérateurs agricoles, associations.</w:t>
      </w:r>
      <w:r>
        <w:rPr>
          <w:color w:val="000000"/>
        </w:rPr>
        <w:t xml:space="preserve"> </w:t>
      </w:r>
    </w:p>
    <w:p w14:paraId="59A0A59E" w14:textId="77777777" w:rsidR="00C1273C" w:rsidRDefault="00000000">
      <w:pPr>
        <w:spacing w:after="0" w:line="259" w:lineRule="auto"/>
        <w:ind w:left="0" w:firstLine="0"/>
      </w:pPr>
      <w:r>
        <w:rPr>
          <w:color w:val="000000"/>
        </w:rPr>
        <w:t xml:space="preserve"> </w:t>
      </w:r>
    </w:p>
    <w:p w14:paraId="02FE844E" w14:textId="77777777" w:rsidR="00C1273C" w:rsidRDefault="00000000">
      <w:r>
        <w:t>Elle s'appuie sur quatre piliers opérationnels :</w:t>
      </w:r>
      <w:r>
        <w:rPr>
          <w:color w:val="000000"/>
        </w:rPr>
        <w:t xml:space="preserve"> </w:t>
      </w:r>
    </w:p>
    <w:p w14:paraId="79265902" w14:textId="77777777" w:rsidR="00C1273C" w:rsidRDefault="00000000">
      <w:pPr>
        <w:spacing w:after="0" w:line="259" w:lineRule="auto"/>
        <w:ind w:left="0" w:firstLine="0"/>
      </w:pPr>
      <w:r>
        <w:rPr>
          <w:color w:val="000000"/>
        </w:rPr>
        <w:t xml:space="preserve"> </w:t>
      </w:r>
    </w:p>
    <w:tbl>
      <w:tblPr>
        <w:tblStyle w:val="TableGrid"/>
        <w:tblW w:w="9259" w:type="dxa"/>
        <w:tblInd w:w="6" w:type="dxa"/>
        <w:tblCellMar>
          <w:top w:w="88" w:type="dxa"/>
          <w:left w:w="110" w:type="dxa"/>
          <w:bottom w:w="0" w:type="dxa"/>
          <w:right w:w="89" w:type="dxa"/>
        </w:tblCellMar>
        <w:tblLook w:val="04A0" w:firstRow="1" w:lastRow="0" w:firstColumn="1" w:lastColumn="0" w:noHBand="0" w:noVBand="1"/>
      </w:tblPr>
      <w:tblGrid>
        <w:gridCol w:w="400"/>
        <w:gridCol w:w="2600"/>
        <w:gridCol w:w="6259"/>
      </w:tblGrid>
      <w:tr w:rsidR="00C1273C" w14:paraId="6EBB8BBC" w14:textId="77777777">
        <w:trPr>
          <w:trHeight w:val="387"/>
        </w:trPr>
        <w:tc>
          <w:tcPr>
            <w:tcW w:w="400" w:type="dxa"/>
            <w:tcBorders>
              <w:top w:val="single" w:sz="32" w:space="0" w:color="1B3A6B"/>
              <w:left w:val="single" w:sz="4" w:space="0" w:color="1B3A6B"/>
              <w:bottom w:val="single" w:sz="22" w:space="0" w:color="FFFFFF"/>
              <w:right w:val="single" w:sz="4" w:space="0" w:color="1B3A6B"/>
            </w:tcBorders>
            <w:shd w:val="clear" w:color="auto" w:fill="1B3A6B"/>
          </w:tcPr>
          <w:p w14:paraId="4F31962B" w14:textId="77777777" w:rsidR="00C1273C" w:rsidRDefault="00000000">
            <w:pPr>
              <w:spacing w:after="0" w:line="259" w:lineRule="auto"/>
              <w:ind w:left="0" w:firstLine="0"/>
            </w:pPr>
            <w:r>
              <w:rPr>
                <w:color w:val="FFFFFF"/>
              </w:rPr>
              <w:t xml:space="preserve"> </w:t>
            </w:r>
          </w:p>
        </w:tc>
        <w:tc>
          <w:tcPr>
            <w:tcW w:w="2600" w:type="dxa"/>
            <w:tcBorders>
              <w:top w:val="single" w:sz="32" w:space="0" w:color="1B3A6B"/>
              <w:left w:val="single" w:sz="4" w:space="0" w:color="1B3A6B"/>
              <w:bottom w:val="single" w:sz="22" w:space="0" w:color="FFFFFF"/>
              <w:right w:val="single" w:sz="4" w:space="0" w:color="1B3A6B"/>
            </w:tcBorders>
            <w:shd w:val="clear" w:color="auto" w:fill="1B3A6B"/>
          </w:tcPr>
          <w:p w14:paraId="3C5AC484" w14:textId="77777777" w:rsidR="00C1273C" w:rsidRDefault="00000000">
            <w:pPr>
              <w:spacing w:after="0" w:line="259" w:lineRule="auto"/>
              <w:ind w:left="1" w:firstLine="0"/>
            </w:pPr>
            <w:r>
              <w:rPr>
                <w:b/>
                <w:color w:val="FFFFFF"/>
                <w:sz w:val="20"/>
              </w:rPr>
              <w:t>Pilier</w:t>
            </w:r>
            <w:r>
              <w:rPr>
                <w:color w:val="FFFFFF"/>
              </w:rPr>
              <w:t xml:space="preserve"> </w:t>
            </w:r>
          </w:p>
        </w:tc>
        <w:tc>
          <w:tcPr>
            <w:tcW w:w="6259" w:type="dxa"/>
            <w:tcBorders>
              <w:top w:val="single" w:sz="32" w:space="0" w:color="1B3A6B"/>
              <w:left w:val="single" w:sz="4" w:space="0" w:color="1B3A6B"/>
              <w:bottom w:val="single" w:sz="22" w:space="0" w:color="FFFFFF"/>
              <w:right w:val="single" w:sz="4" w:space="0" w:color="1B3A6B"/>
            </w:tcBorders>
            <w:shd w:val="clear" w:color="auto" w:fill="1B3A6B"/>
          </w:tcPr>
          <w:p w14:paraId="0131CE14" w14:textId="77777777" w:rsidR="00C1273C" w:rsidRDefault="00000000">
            <w:pPr>
              <w:spacing w:after="0" w:line="259" w:lineRule="auto"/>
              <w:ind w:left="1" w:firstLine="0"/>
            </w:pPr>
            <w:r>
              <w:rPr>
                <w:b/>
                <w:color w:val="FFFFFF"/>
                <w:sz w:val="20"/>
              </w:rPr>
              <w:t xml:space="preserve">Action concrète de </w:t>
            </w:r>
            <w:proofErr w:type="spellStart"/>
            <w:r>
              <w:rPr>
                <w:b/>
                <w:color w:val="FFFFFF"/>
                <w:sz w:val="20"/>
              </w:rPr>
              <w:t>Géorésilience</w:t>
            </w:r>
            <w:proofErr w:type="spellEnd"/>
            <w:r>
              <w:rPr>
                <w:color w:val="FFFFFF"/>
              </w:rPr>
              <w:t xml:space="preserve"> </w:t>
            </w:r>
          </w:p>
        </w:tc>
      </w:tr>
      <w:tr w:rsidR="00C1273C" w14:paraId="21B0BDBD" w14:textId="77777777">
        <w:trPr>
          <w:trHeight w:val="1103"/>
        </w:trPr>
        <w:tc>
          <w:tcPr>
            <w:tcW w:w="400" w:type="dxa"/>
            <w:tcBorders>
              <w:top w:val="single" w:sz="22" w:space="0" w:color="FFFFFF"/>
              <w:left w:val="single" w:sz="4" w:space="0" w:color="CBD5E0"/>
              <w:bottom w:val="single" w:sz="4" w:space="0" w:color="CBD5E0"/>
              <w:right w:val="single" w:sz="4" w:space="0" w:color="CBD5E0"/>
            </w:tcBorders>
          </w:tcPr>
          <w:p w14:paraId="2BECAD86" w14:textId="77777777" w:rsidR="00C1273C" w:rsidRDefault="00000000">
            <w:pPr>
              <w:spacing w:after="0" w:line="259" w:lineRule="auto"/>
              <w:ind w:left="0" w:firstLine="0"/>
            </w:pPr>
            <w:r>
              <w:rPr>
                <w:sz w:val="20"/>
              </w:rPr>
              <w:t>1</w:t>
            </w:r>
            <w:r>
              <w:rPr>
                <w:color w:val="000000"/>
              </w:rPr>
              <w:t xml:space="preserve"> </w:t>
            </w:r>
          </w:p>
        </w:tc>
        <w:tc>
          <w:tcPr>
            <w:tcW w:w="2600" w:type="dxa"/>
            <w:tcBorders>
              <w:top w:val="single" w:sz="22" w:space="0" w:color="FFFFFF"/>
              <w:left w:val="single" w:sz="4" w:space="0" w:color="CBD5E0"/>
              <w:bottom w:val="single" w:sz="4" w:space="0" w:color="CBD5E0"/>
              <w:right w:val="single" w:sz="4" w:space="0" w:color="CBD5E0"/>
            </w:tcBorders>
          </w:tcPr>
          <w:p w14:paraId="31C9C738" w14:textId="77777777" w:rsidR="00C1273C" w:rsidRDefault="00000000">
            <w:pPr>
              <w:spacing w:after="0" w:line="259" w:lineRule="auto"/>
              <w:ind w:left="1" w:firstLine="0"/>
            </w:pPr>
            <w:r>
              <w:rPr>
                <w:sz w:val="20"/>
              </w:rPr>
              <w:t>Cartographie de la résilience locale</w:t>
            </w:r>
            <w:r>
              <w:rPr>
                <w:color w:val="000000"/>
              </w:rPr>
              <w:t xml:space="preserve"> </w:t>
            </w:r>
          </w:p>
        </w:tc>
        <w:tc>
          <w:tcPr>
            <w:tcW w:w="6259" w:type="dxa"/>
            <w:tcBorders>
              <w:top w:val="single" w:sz="22" w:space="0" w:color="FFFFFF"/>
              <w:left w:val="single" w:sz="4" w:space="0" w:color="CBD5E0"/>
              <w:bottom w:val="single" w:sz="4" w:space="0" w:color="CBD5E0"/>
              <w:right w:val="single" w:sz="4" w:space="0" w:color="CBD5E0"/>
            </w:tcBorders>
          </w:tcPr>
          <w:p w14:paraId="24EC8B82" w14:textId="77777777" w:rsidR="00C1273C" w:rsidRDefault="00000000">
            <w:pPr>
              <w:spacing w:after="0" w:line="259" w:lineRule="auto"/>
              <w:ind w:left="1" w:firstLine="0"/>
            </w:pPr>
            <w:r>
              <w:rPr>
                <w:sz w:val="20"/>
              </w:rPr>
              <w:t>Diagnostic géolocalisé des ressources foncières, compétences habitantes, circuits courts et vulnérabilités — synthétisé en langage de risques et d'opportunités pour les élus, en s'appuyant sur les données des Chambres d'agriculture, SAFER et EPCI.</w:t>
            </w:r>
            <w:r>
              <w:rPr>
                <w:color w:val="000000"/>
              </w:rPr>
              <w:t xml:space="preserve"> </w:t>
            </w:r>
          </w:p>
        </w:tc>
      </w:tr>
      <w:tr w:rsidR="00C1273C" w14:paraId="3269939E" w14:textId="77777777">
        <w:trPr>
          <w:trHeight w:val="851"/>
        </w:trPr>
        <w:tc>
          <w:tcPr>
            <w:tcW w:w="400" w:type="dxa"/>
            <w:tcBorders>
              <w:top w:val="single" w:sz="4" w:space="0" w:color="CBD5E0"/>
              <w:left w:val="single" w:sz="4" w:space="0" w:color="CBD5E0"/>
              <w:bottom w:val="single" w:sz="22" w:space="0" w:color="FFFFFF"/>
              <w:right w:val="single" w:sz="4" w:space="0" w:color="CBD5E0"/>
            </w:tcBorders>
            <w:shd w:val="clear" w:color="auto" w:fill="F7F8FA"/>
          </w:tcPr>
          <w:p w14:paraId="146BC864" w14:textId="77777777" w:rsidR="00C1273C" w:rsidRDefault="00000000">
            <w:pPr>
              <w:spacing w:after="0" w:line="259" w:lineRule="auto"/>
              <w:ind w:left="0" w:firstLine="0"/>
            </w:pPr>
            <w:r>
              <w:rPr>
                <w:sz w:val="20"/>
              </w:rPr>
              <w:lastRenderedPageBreak/>
              <w:t>2</w:t>
            </w:r>
            <w:r>
              <w:rPr>
                <w:color w:val="000000"/>
              </w:rPr>
              <w:t xml:space="preserve"> </w:t>
            </w:r>
          </w:p>
        </w:tc>
        <w:tc>
          <w:tcPr>
            <w:tcW w:w="2600" w:type="dxa"/>
            <w:tcBorders>
              <w:top w:val="single" w:sz="4" w:space="0" w:color="CBD5E0"/>
              <w:left w:val="single" w:sz="4" w:space="0" w:color="CBD5E0"/>
              <w:bottom w:val="single" w:sz="22" w:space="0" w:color="FFFFFF"/>
              <w:right w:val="single" w:sz="4" w:space="0" w:color="CBD5E0"/>
            </w:tcBorders>
            <w:shd w:val="clear" w:color="auto" w:fill="F7F8FA"/>
          </w:tcPr>
          <w:p w14:paraId="05F357CF" w14:textId="77777777" w:rsidR="00C1273C" w:rsidRDefault="00000000">
            <w:pPr>
              <w:spacing w:after="0" w:line="259" w:lineRule="auto"/>
              <w:ind w:left="1" w:firstLine="0"/>
            </w:pPr>
            <w:proofErr w:type="spellStart"/>
            <w:r>
              <w:rPr>
                <w:sz w:val="20"/>
              </w:rPr>
              <w:t>Encapacitation</w:t>
            </w:r>
            <w:proofErr w:type="spellEnd"/>
            <w:r>
              <w:rPr>
                <w:sz w:val="20"/>
              </w:rPr>
              <w:t xml:space="preserve"> collective</w:t>
            </w:r>
            <w:r>
              <w:rPr>
                <w:color w:val="000000"/>
              </w:rPr>
              <w:t xml:space="preserve"> </w:t>
            </w:r>
          </w:p>
        </w:tc>
        <w:tc>
          <w:tcPr>
            <w:tcW w:w="6259" w:type="dxa"/>
            <w:tcBorders>
              <w:top w:val="single" w:sz="4" w:space="0" w:color="CBD5E0"/>
              <w:left w:val="single" w:sz="4" w:space="0" w:color="CBD5E0"/>
              <w:bottom w:val="single" w:sz="22" w:space="0" w:color="FFFFFF"/>
              <w:right w:val="single" w:sz="4" w:space="0" w:color="CBD5E0"/>
            </w:tcBorders>
            <w:shd w:val="clear" w:color="auto" w:fill="F7F8FA"/>
          </w:tcPr>
          <w:p w14:paraId="637C4B82" w14:textId="77777777" w:rsidR="00C1273C" w:rsidRDefault="00000000">
            <w:pPr>
              <w:spacing w:after="0" w:line="259" w:lineRule="auto"/>
              <w:ind w:left="1" w:firstLine="0"/>
            </w:pPr>
            <w:r>
              <w:rPr>
                <w:sz w:val="20"/>
              </w:rPr>
              <w:t xml:space="preserve">Ateliers participatifs, transmission de savoir-faire, démocratie alimentaire — </w:t>
            </w:r>
            <w:proofErr w:type="spellStart"/>
            <w:r>
              <w:rPr>
                <w:sz w:val="20"/>
              </w:rPr>
              <w:t>co-construits</w:t>
            </w:r>
            <w:proofErr w:type="spellEnd"/>
            <w:r>
              <w:rPr>
                <w:sz w:val="20"/>
              </w:rPr>
              <w:t xml:space="preserve"> avec les communes. L'objectif est de créer des acteurs de la résilience, pas des bénéficiaires de politiques.</w:t>
            </w:r>
            <w:r>
              <w:rPr>
                <w:color w:val="000000"/>
              </w:rPr>
              <w:t xml:space="preserve"> </w:t>
            </w:r>
          </w:p>
        </w:tc>
      </w:tr>
      <w:tr w:rsidR="00C1273C" w14:paraId="3DF3FB5D" w14:textId="77777777">
        <w:trPr>
          <w:trHeight w:val="853"/>
        </w:trPr>
        <w:tc>
          <w:tcPr>
            <w:tcW w:w="400" w:type="dxa"/>
            <w:tcBorders>
              <w:top w:val="single" w:sz="22" w:space="0" w:color="FFFFFF"/>
              <w:left w:val="single" w:sz="4" w:space="0" w:color="CBD5E0"/>
              <w:bottom w:val="single" w:sz="4" w:space="0" w:color="CBD5E0"/>
              <w:right w:val="single" w:sz="4" w:space="0" w:color="CBD5E0"/>
            </w:tcBorders>
          </w:tcPr>
          <w:p w14:paraId="1750E2A0" w14:textId="77777777" w:rsidR="00C1273C" w:rsidRDefault="00000000">
            <w:pPr>
              <w:spacing w:after="0" w:line="259" w:lineRule="auto"/>
              <w:ind w:left="0" w:firstLine="0"/>
            </w:pPr>
            <w:r>
              <w:rPr>
                <w:sz w:val="20"/>
              </w:rPr>
              <w:t>3</w:t>
            </w:r>
            <w:r>
              <w:rPr>
                <w:color w:val="000000"/>
              </w:rPr>
              <w:t xml:space="preserve"> </w:t>
            </w:r>
          </w:p>
        </w:tc>
        <w:tc>
          <w:tcPr>
            <w:tcW w:w="2600" w:type="dxa"/>
            <w:tcBorders>
              <w:top w:val="single" w:sz="22" w:space="0" w:color="FFFFFF"/>
              <w:left w:val="single" w:sz="4" w:space="0" w:color="CBD5E0"/>
              <w:bottom w:val="single" w:sz="4" w:space="0" w:color="CBD5E0"/>
              <w:right w:val="single" w:sz="4" w:space="0" w:color="CBD5E0"/>
            </w:tcBorders>
          </w:tcPr>
          <w:p w14:paraId="1512DFE1" w14:textId="77777777" w:rsidR="00C1273C" w:rsidRDefault="00000000">
            <w:pPr>
              <w:spacing w:after="0" w:line="259" w:lineRule="auto"/>
              <w:ind w:left="1" w:firstLine="0"/>
            </w:pPr>
            <w:r>
              <w:rPr>
                <w:sz w:val="20"/>
              </w:rPr>
              <w:t>Comptabilisation des externalités positives</w:t>
            </w:r>
            <w:r>
              <w:rPr>
                <w:color w:val="000000"/>
              </w:rPr>
              <w:t xml:space="preserve"> </w:t>
            </w:r>
          </w:p>
        </w:tc>
        <w:tc>
          <w:tcPr>
            <w:tcW w:w="6259" w:type="dxa"/>
            <w:tcBorders>
              <w:top w:val="single" w:sz="22" w:space="0" w:color="FFFFFF"/>
              <w:left w:val="single" w:sz="4" w:space="0" w:color="CBD5E0"/>
              <w:bottom w:val="single" w:sz="4" w:space="0" w:color="CBD5E0"/>
              <w:right w:val="single" w:sz="4" w:space="0" w:color="CBD5E0"/>
            </w:tcBorders>
          </w:tcPr>
          <w:p w14:paraId="102386B8" w14:textId="77777777" w:rsidR="00C1273C" w:rsidRDefault="00000000">
            <w:pPr>
              <w:spacing w:after="0" w:line="259" w:lineRule="auto"/>
              <w:ind w:left="1" w:firstLine="0"/>
            </w:pPr>
            <w:r>
              <w:rPr>
                <w:sz w:val="20"/>
              </w:rPr>
              <w:t>Méthodologie reproductible pour mesurer les impacts sur la santé, la cohésion sociale, la biodiversité et la dépendance énergétique — traduits en argument financier public pour les décideurs.</w:t>
            </w:r>
            <w:r>
              <w:rPr>
                <w:color w:val="000000"/>
              </w:rPr>
              <w:t xml:space="preserve"> </w:t>
            </w:r>
          </w:p>
        </w:tc>
      </w:tr>
      <w:tr w:rsidR="00C1273C" w14:paraId="2E1AD87B" w14:textId="77777777">
        <w:trPr>
          <w:trHeight w:val="829"/>
        </w:trPr>
        <w:tc>
          <w:tcPr>
            <w:tcW w:w="400" w:type="dxa"/>
            <w:tcBorders>
              <w:top w:val="single" w:sz="4" w:space="0" w:color="CBD5E0"/>
              <w:left w:val="single" w:sz="4" w:space="0" w:color="CBD5E0"/>
              <w:bottom w:val="single" w:sz="4" w:space="0" w:color="CBD5E0"/>
              <w:right w:val="single" w:sz="4" w:space="0" w:color="CBD5E0"/>
            </w:tcBorders>
            <w:shd w:val="clear" w:color="auto" w:fill="F7F8FA"/>
          </w:tcPr>
          <w:p w14:paraId="53FEF34E" w14:textId="77777777" w:rsidR="00C1273C" w:rsidRDefault="00000000">
            <w:pPr>
              <w:spacing w:after="0" w:line="259" w:lineRule="auto"/>
              <w:ind w:left="0" w:firstLine="0"/>
            </w:pPr>
            <w:r>
              <w:rPr>
                <w:sz w:val="20"/>
              </w:rPr>
              <w:t>4</w:t>
            </w:r>
            <w:r>
              <w:rPr>
                <w:color w:val="000000"/>
              </w:rPr>
              <w:t xml:space="preserve"> </w:t>
            </w:r>
          </w:p>
        </w:tc>
        <w:tc>
          <w:tcPr>
            <w:tcW w:w="2600" w:type="dxa"/>
            <w:tcBorders>
              <w:top w:val="single" w:sz="4" w:space="0" w:color="CBD5E0"/>
              <w:left w:val="single" w:sz="4" w:space="0" w:color="CBD5E0"/>
              <w:bottom w:val="single" w:sz="4" w:space="0" w:color="CBD5E0"/>
              <w:right w:val="single" w:sz="4" w:space="0" w:color="CBD5E0"/>
            </w:tcBorders>
            <w:shd w:val="clear" w:color="auto" w:fill="F7F8FA"/>
          </w:tcPr>
          <w:p w14:paraId="76C8CCFA" w14:textId="77777777" w:rsidR="00C1273C" w:rsidRDefault="00000000">
            <w:pPr>
              <w:spacing w:after="0" w:line="259" w:lineRule="auto"/>
              <w:ind w:left="1" w:firstLine="0"/>
            </w:pPr>
            <w:r>
              <w:rPr>
                <w:sz w:val="20"/>
              </w:rPr>
              <w:t>Gouvernance en subsidiarité</w:t>
            </w:r>
            <w:r>
              <w:rPr>
                <w:color w:val="000000"/>
              </w:rPr>
              <w:t xml:space="preserve"> </w:t>
            </w:r>
          </w:p>
        </w:tc>
        <w:tc>
          <w:tcPr>
            <w:tcW w:w="6259" w:type="dxa"/>
            <w:tcBorders>
              <w:top w:val="single" w:sz="4" w:space="0" w:color="CBD5E0"/>
              <w:left w:val="single" w:sz="4" w:space="0" w:color="CBD5E0"/>
              <w:bottom w:val="single" w:sz="4" w:space="0" w:color="CBD5E0"/>
              <w:right w:val="single" w:sz="4" w:space="0" w:color="CBD5E0"/>
            </w:tcBorders>
            <w:shd w:val="clear" w:color="auto" w:fill="F7F8FA"/>
          </w:tcPr>
          <w:p w14:paraId="106C8444" w14:textId="77777777" w:rsidR="00C1273C" w:rsidRDefault="00000000">
            <w:pPr>
              <w:spacing w:after="0" w:line="259" w:lineRule="auto"/>
              <w:ind w:left="1" w:firstLine="0"/>
            </w:pPr>
            <w:r>
              <w:rPr>
                <w:sz w:val="20"/>
              </w:rPr>
              <w:t>Animation de la compréhension mutuelle entre niveaux : commune (pilotage), intercommunalité (ingénierie), région/État (cadre et incitations). Chaque niveau fait ce que l'inférieur ne peut faire seul.</w:t>
            </w:r>
            <w:r>
              <w:rPr>
                <w:color w:val="000000"/>
              </w:rPr>
              <w:t xml:space="preserve"> </w:t>
            </w:r>
          </w:p>
        </w:tc>
      </w:tr>
    </w:tbl>
    <w:p w14:paraId="56EFADDD" w14:textId="77777777" w:rsidR="00C1273C" w:rsidRDefault="00000000">
      <w:pPr>
        <w:pStyle w:val="Titre1"/>
        <w:ind w:left="288" w:hanging="303"/>
      </w:pPr>
      <w:r>
        <w:t>— LES INDICATEURS DE RÉSILIENCE : PILOTER PAR LA PREUVE</w:t>
      </w:r>
      <w:r>
        <w:rPr>
          <w:color w:val="000000"/>
        </w:rPr>
        <w:t xml:space="preserve"> </w:t>
      </w:r>
    </w:p>
    <w:p w14:paraId="43EDE68E" w14:textId="77777777" w:rsidR="00C1273C" w:rsidRDefault="00000000">
      <w:pPr>
        <w:spacing w:after="204" w:line="259" w:lineRule="auto"/>
        <w:ind w:left="-29" w:right="-40" w:firstLine="0"/>
      </w:pPr>
      <w:r>
        <w:rPr>
          <w:noProof/>
          <w:color w:val="000000"/>
        </w:rPr>
        <mc:AlternateContent>
          <mc:Choice Requires="wpg">
            <w:drawing>
              <wp:inline distT="0" distB="0" distL="0" distR="0" wp14:anchorId="0F35B86A" wp14:editId="1AF0776D">
                <wp:extent cx="6074410" cy="12192"/>
                <wp:effectExtent l="0" t="0" r="0" b="0"/>
                <wp:docPr id="15507" name="Group 15507"/>
                <wp:cNvGraphicFramePr/>
                <a:graphic xmlns:a="http://schemas.openxmlformats.org/drawingml/2006/main">
                  <a:graphicData uri="http://schemas.microsoft.com/office/word/2010/wordprocessingGroup">
                    <wpg:wgp>
                      <wpg:cNvGrpSpPr/>
                      <wpg:grpSpPr>
                        <a:xfrm>
                          <a:off x="0" y="0"/>
                          <a:ext cx="6074410" cy="12192"/>
                          <a:chOff x="0" y="0"/>
                          <a:chExt cx="6074410" cy="12192"/>
                        </a:xfrm>
                      </wpg:grpSpPr>
                      <wps:wsp>
                        <wps:cNvPr id="16564" name="Shape 16564"/>
                        <wps:cNvSpPr/>
                        <wps:spPr>
                          <a:xfrm>
                            <a:off x="0" y="0"/>
                            <a:ext cx="6074410" cy="12192"/>
                          </a:xfrm>
                          <a:custGeom>
                            <a:avLst/>
                            <a:gdLst/>
                            <a:ahLst/>
                            <a:cxnLst/>
                            <a:rect l="0" t="0" r="0" b="0"/>
                            <a:pathLst>
                              <a:path w="6074410" h="12192">
                                <a:moveTo>
                                  <a:pt x="0" y="0"/>
                                </a:moveTo>
                                <a:lnTo>
                                  <a:pt x="6074410" y="0"/>
                                </a:lnTo>
                                <a:lnTo>
                                  <a:pt x="6074410" y="12192"/>
                                </a:lnTo>
                                <a:lnTo>
                                  <a:pt x="0" y="12192"/>
                                </a:lnTo>
                                <a:lnTo>
                                  <a:pt x="0" y="0"/>
                                </a:lnTo>
                              </a:path>
                            </a:pathLst>
                          </a:custGeom>
                          <a:ln w="0" cap="flat">
                            <a:miter lim="127000"/>
                          </a:ln>
                        </wps:spPr>
                        <wps:style>
                          <a:lnRef idx="0">
                            <a:srgbClr val="000000">
                              <a:alpha val="0"/>
                            </a:srgbClr>
                          </a:lnRef>
                          <a:fillRef idx="1">
                            <a:srgbClr val="1B3A6B"/>
                          </a:fillRef>
                          <a:effectRef idx="0">
                            <a:scrgbClr r="0" g="0" b="0"/>
                          </a:effectRef>
                          <a:fontRef idx="none"/>
                        </wps:style>
                        <wps:bodyPr/>
                      </wps:wsp>
                    </wpg:wgp>
                  </a:graphicData>
                </a:graphic>
              </wp:inline>
            </w:drawing>
          </mc:Choice>
          <mc:Fallback xmlns:a="http://schemas.openxmlformats.org/drawingml/2006/main">
            <w:pict>
              <v:group id="Group 15507" style="width:478.3pt;height:0.960022pt;mso-position-horizontal-relative:char;mso-position-vertical-relative:line" coordsize="60744,121">
                <v:shape id="Shape 16565" style="position:absolute;width:60744;height:121;left:0;top:0;" coordsize="6074410,12192" path="m0,0l6074410,0l6074410,12192l0,12192l0,0">
                  <v:stroke weight="0pt" endcap="flat" joinstyle="miter" miterlimit="10" on="false" color="#000000" opacity="0"/>
                  <v:fill on="true" color="#1b3a6b"/>
                </v:shape>
              </v:group>
            </w:pict>
          </mc:Fallback>
        </mc:AlternateContent>
      </w:r>
    </w:p>
    <w:p w14:paraId="18B2A550" w14:textId="77777777" w:rsidR="00C1273C" w:rsidRDefault="00000000">
      <w:r>
        <w:t>Le cœur de la contribution de l'Institut pour la Refondation Publique à cette réflexion est la question des indicateurs : comment mesurer des bénéfices diffus, multi-sectoriels, différés, dans un système budgétaire conçu pour des résultats sectoriels à court terme ?</w:t>
      </w:r>
      <w:r>
        <w:rPr>
          <w:color w:val="000000"/>
        </w:rPr>
        <w:t xml:space="preserve"> </w:t>
      </w:r>
    </w:p>
    <w:p w14:paraId="187CABBB" w14:textId="77777777" w:rsidR="00C1273C" w:rsidRDefault="00000000">
      <w:proofErr w:type="spellStart"/>
      <w:r>
        <w:t>Géorésilience</w:t>
      </w:r>
      <w:proofErr w:type="spellEnd"/>
      <w:r>
        <w:t xml:space="preserve"> propose deux niveaux complémentaires — des indicateurs de terrain, produits avec les acteurs locaux, et des indicateurs systémiques en langage budgétaire public.</w:t>
      </w:r>
      <w:r>
        <w:rPr>
          <w:color w:val="000000"/>
        </w:rPr>
        <w:t xml:space="preserve"> </w:t>
      </w:r>
    </w:p>
    <w:p w14:paraId="01D4EB38" w14:textId="77777777" w:rsidR="00C1273C" w:rsidRDefault="00000000">
      <w:pPr>
        <w:spacing w:after="237" w:line="259" w:lineRule="auto"/>
        <w:ind w:left="0" w:firstLine="0"/>
      </w:pPr>
      <w:r>
        <w:rPr>
          <w:color w:val="000000"/>
        </w:rPr>
        <w:t xml:space="preserve"> </w:t>
      </w:r>
    </w:p>
    <w:p w14:paraId="6050855B" w14:textId="77777777" w:rsidR="00C1273C" w:rsidRDefault="00000000">
      <w:pPr>
        <w:pStyle w:val="Titre2"/>
        <w:ind w:left="-5"/>
      </w:pPr>
      <w:r>
        <w:t>Indicateurs de terrain — observables par les acteurs locaux</w:t>
      </w:r>
      <w:r>
        <w:rPr>
          <w:color w:val="000000"/>
        </w:rPr>
        <w:t xml:space="preserve"> </w:t>
      </w:r>
    </w:p>
    <w:tbl>
      <w:tblPr>
        <w:tblStyle w:val="TableGrid"/>
        <w:tblW w:w="9259" w:type="dxa"/>
        <w:tblInd w:w="6" w:type="dxa"/>
        <w:tblCellMar>
          <w:top w:w="89" w:type="dxa"/>
          <w:left w:w="110" w:type="dxa"/>
          <w:bottom w:w="0" w:type="dxa"/>
          <w:right w:w="88" w:type="dxa"/>
        </w:tblCellMar>
        <w:tblLook w:val="04A0" w:firstRow="1" w:lastRow="0" w:firstColumn="1" w:lastColumn="0" w:noHBand="0" w:noVBand="1"/>
      </w:tblPr>
      <w:tblGrid>
        <w:gridCol w:w="3300"/>
        <w:gridCol w:w="3701"/>
        <w:gridCol w:w="2258"/>
      </w:tblGrid>
      <w:tr w:rsidR="00C1273C" w14:paraId="59680029" w14:textId="77777777">
        <w:trPr>
          <w:trHeight w:val="361"/>
        </w:trPr>
        <w:tc>
          <w:tcPr>
            <w:tcW w:w="3300" w:type="dxa"/>
            <w:tcBorders>
              <w:top w:val="single" w:sz="32" w:space="0" w:color="1B3A6B"/>
              <w:left w:val="single" w:sz="4" w:space="0" w:color="1B3A6B"/>
              <w:bottom w:val="single" w:sz="22" w:space="0" w:color="FFFFFF"/>
              <w:right w:val="single" w:sz="4" w:space="0" w:color="1B3A6B"/>
            </w:tcBorders>
            <w:shd w:val="clear" w:color="auto" w:fill="1B3A6B"/>
          </w:tcPr>
          <w:p w14:paraId="0C18CEE1" w14:textId="77777777" w:rsidR="00C1273C" w:rsidRDefault="00000000">
            <w:pPr>
              <w:spacing w:after="0" w:line="259" w:lineRule="auto"/>
              <w:ind w:left="0" w:firstLine="0"/>
            </w:pPr>
            <w:r>
              <w:rPr>
                <w:b/>
                <w:color w:val="FFFFFF"/>
                <w:sz w:val="20"/>
              </w:rPr>
              <w:t>Indicateur</w:t>
            </w:r>
            <w:r>
              <w:rPr>
                <w:color w:val="FFFFFF"/>
              </w:rPr>
              <w:t xml:space="preserve"> </w:t>
            </w:r>
          </w:p>
        </w:tc>
        <w:tc>
          <w:tcPr>
            <w:tcW w:w="3701" w:type="dxa"/>
            <w:tcBorders>
              <w:top w:val="single" w:sz="32" w:space="0" w:color="1B3A6B"/>
              <w:left w:val="single" w:sz="4" w:space="0" w:color="1B3A6B"/>
              <w:bottom w:val="single" w:sz="22" w:space="0" w:color="FFFFFF"/>
              <w:right w:val="single" w:sz="4" w:space="0" w:color="1B3A6B"/>
            </w:tcBorders>
            <w:shd w:val="clear" w:color="auto" w:fill="1B3A6B"/>
          </w:tcPr>
          <w:p w14:paraId="2EC5378D" w14:textId="77777777" w:rsidR="00C1273C" w:rsidRDefault="00000000">
            <w:pPr>
              <w:spacing w:after="0" w:line="259" w:lineRule="auto"/>
              <w:ind w:left="1" w:firstLine="0"/>
            </w:pPr>
            <w:r>
              <w:rPr>
                <w:b/>
                <w:color w:val="FFFFFF"/>
                <w:sz w:val="20"/>
              </w:rPr>
              <w:t>Ce qu'il mesure réellement</w:t>
            </w:r>
            <w:r>
              <w:rPr>
                <w:color w:val="FFFFFF"/>
              </w:rPr>
              <w:t xml:space="preserve"> </w:t>
            </w:r>
          </w:p>
        </w:tc>
        <w:tc>
          <w:tcPr>
            <w:tcW w:w="2258" w:type="dxa"/>
            <w:tcBorders>
              <w:top w:val="single" w:sz="32" w:space="0" w:color="1B3A6B"/>
              <w:left w:val="single" w:sz="4" w:space="0" w:color="1B3A6B"/>
              <w:bottom w:val="single" w:sz="22" w:space="0" w:color="FFFFFF"/>
              <w:right w:val="single" w:sz="4" w:space="0" w:color="1B3A6B"/>
            </w:tcBorders>
            <w:shd w:val="clear" w:color="auto" w:fill="1B3A6B"/>
          </w:tcPr>
          <w:p w14:paraId="5EF0DD55" w14:textId="77777777" w:rsidR="00C1273C" w:rsidRDefault="00000000">
            <w:pPr>
              <w:spacing w:after="0" w:line="259" w:lineRule="auto"/>
              <w:ind w:left="1" w:firstLine="0"/>
            </w:pPr>
            <w:r>
              <w:rPr>
                <w:b/>
                <w:color w:val="FFFFFF"/>
                <w:sz w:val="20"/>
              </w:rPr>
              <w:t>Acteur producteur</w:t>
            </w:r>
            <w:r>
              <w:rPr>
                <w:color w:val="FFFFFF"/>
              </w:rPr>
              <w:t xml:space="preserve"> </w:t>
            </w:r>
          </w:p>
        </w:tc>
      </w:tr>
      <w:tr w:rsidR="00C1273C" w14:paraId="323142B1" w14:textId="77777777">
        <w:trPr>
          <w:trHeight w:val="616"/>
        </w:trPr>
        <w:tc>
          <w:tcPr>
            <w:tcW w:w="3300" w:type="dxa"/>
            <w:tcBorders>
              <w:top w:val="single" w:sz="22" w:space="0" w:color="FFFFFF"/>
              <w:left w:val="single" w:sz="4" w:space="0" w:color="CBD5E0"/>
              <w:bottom w:val="single" w:sz="4" w:space="0" w:color="CBD5E0"/>
              <w:right w:val="single" w:sz="4" w:space="0" w:color="CBD5E0"/>
            </w:tcBorders>
          </w:tcPr>
          <w:p w14:paraId="05DB0F85" w14:textId="77777777" w:rsidR="00C1273C" w:rsidRDefault="00000000">
            <w:pPr>
              <w:spacing w:after="0" w:line="259" w:lineRule="auto"/>
              <w:ind w:left="0" w:firstLine="0"/>
            </w:pPr>
            <w:r>
              <w:rPr>
                <w:sz w:val="20"/>
              </w:rPr>
              <w:t>Part de la SAU communale mobilisée pour des circuits courts formalisés</w:t>
            </w:r>
            <w:r>
              <w:rPr>
                <w:color w:val="000000"/>
              </w:rPr>
              <w:t xml:space="preserve"> </w:t>
            </w:r>
          </w:p>
        </w:tc>
        <w:tc>
          <w:tcPr>
            <w:tcW w:w="3701" w:type="dxa"/>
            <w:tcBorders>
              <w:top w:val="single" w:sz="22" w:space="0" w:color="FFFFFF"/>
              <w:left w:val="single" w:sz="4" w:space="0" w:color="CBD5E0"/>
              <w:bottom w:val="single" w:sz="4" w:space="0" w:color="CBD5E0"/>
              <w:right w:val="single" w:sz="4" w:space="0" w:color="CBD5E0"/>
            </w:tcBorders>
          </w:tcPr>
          <w:p w14:paraId="3FEF2700" w14:textId="77777777" w:rsidR="00C1273C" w:rsidRDefault="00000000">
            <w:pPr>
              <w:spacing w:after="0" w:line="259" w:lineRule="auto"/>
              <w:ind w:left="1" w:firstLine="0"/>
            </w:pPr>
            <w:r>
              <w:rPr>
                <w:sz w:val="20"/>
              </w:rPr>
              <w:t>La capacité productive réelle du territoire — au-delà des déclarations d'intention</w:t>
            </w:r>
            <w:r>
              <w:rPr>
                <w:color w:val="000000"/>
              </w:rPr>
              <w:t xml:space="preserve"> </w:t>
            </w:r>
          </w:p>
        </w:tc>
        <w:tc>
          <w:tcPr>
            <w:tcW w:w="2258" w:type="dxa"/>
            <w:tcBorders>
              <w:top w:val="single" w:sz="22" w:space="0" w:color="FFFFFF"/>
              <w:left w:val="single" w:sz="4" w:space="0" w:color="CBD5E0"/>
              <w:bottom w:val="single" w:sz="4" w:space="0" w:color="CBD5E0"/>
              <w:right w:val="single" w:sz="4" w:space="0" w:color="CBD5E0"/>
            </w:tcBorders>
          </w:tcPr>
          <w:p w14:paraId="54B801FE" w14:textId="77777777" w:rsidR="00C1273C" w:rsidRDefault="00000000">
            <w:pPr>
              <w:spacing w:after="0" w:line="259" w:lineRule="auto"/>
              <w:ind w:left="1" w:firstLine="0"/>
            </w:pPr>
            <w:r>
              <w:rPr>
                <w:sz w:val="20"/>
              </w:rPr>
              <w:t>Communes, SAFER, Chambres agriculture</w:t>
            </w:r>
            <w:r>
              <w:rPr>
                <w:color w:val="000000"/>
              </w:rPr>
              <w:t xml:space="preserve"> </w:t>
            </w:r>
          </w:p>
        </w:tc>
      </w:tr>
      <w:tr w:rsidR="00C1273C" w14:paraId="113A659B" w14:textId="77777777">
        <w:trPr>
          <w:trHeight w:val="851"/>
        </w:trPr>
        <w:tc>
          <w:tcPr>
            <w:tcW w:w="3300" w:type="dxa"/>
            <w:tcBorders>
              <w:top w:val="single" w:sz="4" w:space="0" w:color="CBD5E0"/>
              <w:left w:val="single" w:sz="4" w:space="0" w:color="CBD5E0"/>
              <w:bottom w:val="single" w:sz="22" w:space="0" w:color="FFFFFF"/>
              <w:right w:val="single" w:sz="4" w:space="0" w:color="CBD5E0"/>
            </w:tcBorders>
            <w:shd w:val="clear" w:color="auto" w:fill="F7F8FA"/>
          </w:tcPr>
          <w:p w14:paraId="26D85CD7" w14:textId="77777777" w:rsidR="00C1273C" w:rsidRDefault="00000000">
            <w:pPr>
              <w:spacing w:after="0" w:line="259" w:lineRule="auto"/>
              <w:ind w:left="0" w:firstLine="0"/>
            </w:pPr>
            <w:r>
              <w:rPr>
                <w:sz w:val="20"/>
              </w:rPr>
              <w:t>Nombre de ménages engagés dans une contractualisation stable avec un producteur local</w:t>
            </w:r>
            <w:r>
              <w:rPr>
                <w:color w:val="000000"/>
              </w:rPr>
              <w:t xml:space="preserve"> </w:t>
            </w:r>
          </w:p>
        </w:tc>
        <w:tc>
          <w:tcPr>
            <w:tcW w:w="3701" w:type="dxa"/>
            <w:tcBorders>
              <w:top w:val="single" w:sz="4" w:space="0" w:color="CBD5E0"/>
              <w:left w:val="single" w:sz="4" w:space="0" w:color="CBD5E0"/>
              <w:bottom w:val="single" w:sz="22" w:space="0" w:color="FFFFFF"/>
              <w:right w:val="single" w:sz="4" w:space="0" w:color="CBD5E0"/>
            </w:tcBorders>
            <w:shd w:val="clear" w:color="auto" w:fill="F7F8FA"/>
          </w:tcPr>
          <w:p w14:paraId="556E6418" w14:textId="77777777" w:rsidR="00C1273C" w:rsidRDefault="00000000">
            <w:pPr>
              <w:spacing w:after="0" w:line="259" w:lineRule="auto"/>
              <w:ind w:left="1" w:firstLine="0"/>
            </w:pPr>
            <w:r>
              <w:rPr>
                <w:sz w:val="20"/>
              </w:rPr>
              <w:t>Le passage de l'intention déclarée (70 % veulent du local) à l'acte alimentaire récurrent</w:t>
            </w:r>
            <w:r>
              <w:rPr>
                <w:color w:val="000000"/>
              </w:rPr>
              <w:t xml:space="preserve"> </w:t>
            </w:r>
          </w:p>
        </w:tc>
        <w:tc>
          <w:tcPr>
            <w:tcW w:w="2258" w:type="dxa"/>
            <w:tcBorders>
              <w:top w:val="single" w:sz="4" w:space="0" w:color="CBD5E0"/>
              <w:left w:val="single" w:sz="4" w:space="0" w:color="CBD5E0"/>
              <w:bottom w:val="single" w:sz="22" w:space="0" w:color="FFFFFF"/>
              <w:right w:val="single" w:sz="4" w:space="0" w:color="CBD5E0"/>
            </w:tcBorders>
            <w:shd w:val="clear" w:color="auto" w:fill="F7F8FA"/>
          </w:tcPr>
          <w:p w14:paraId="0702CB35" w14:textId="77777777" w:rsidR="00C1273C" w:rsidRDefault="00000000">
            <w:pPr>
              <w:spacing w:after="0" w:line="259" w:lineRule="auto"/>
              <w:ind w:left="1" w:firstLine="0"/>
            </w:pPr>
            <w:r>
              <w:rPr>
                <w:sz w:val="20"/>
              </w:rPr>
              <w:t>EPCI, animateurs PAT, producteurs</w:t>
            </w:r>
            <w:r>
              <w:rPr>
                <w:color w:val="000000"/>
              </w:rPr>
              <w:t xml:space="preserve"> </w:t>
            </w:r>
          </w:p>
        </w:tc>
      </w:tr>
      <w:tr w:rsidR="00C1273C" w14:paraId="07BE25CA" w14:textId="77777777">
        <w:trPr>
          <w:trHeight w:val="853"/>
        </w:trPr>
        <w:tc>
          <w:tcPr>
            <w:tcW w:w="3300" w:type="dxa"/>
            <w:tcBorders>
              <w:top w:val="single" w:sz="22" w:space="0" w:color="FFFFFF"/>
              <w:left w:val="single" w:sz="4" w:space="0" w:color="CBD5E0"/>
              <w:bottom w:val="single" w:sz="4" w:space="0" w:color="CBD5E0"/>
              <w:right w:val="single" w:sz="4" w:space="0" w:color="CBD5E0"/>
            </w:tcBorders>
          </w:tcPr>
          <w:p w14:paraId="0858AB60" w14:textId="77777777" w:rsidR="00C1273C" w:rsidRDefault="00000000">
            <w:pPr>
              <w:spacing w:after="0" w:line="259" w:lineRule="auto"/>
              <w:ind w:left="0" w:firstLine="0"/>
            </w:pPr>
            <w:r>
              <w:rPr>
                <w:sz w:val="20"/>
              </w:rPr>
              <w:t xml:space="preserve">Taux de conformité </w:t>
            </w:r>
            <w:proofErr w:type="spellStart"/>
            <w:r>
              <w:rPr>
                <w:sz w:val="20"/>
              </w:rPr>
              <w:t>EGAlim</w:t>
            </w:r>
            <w:proofErr w:type="spellEnd"/>
            <w:r>
              <w:rPr>
                <w:sz w:val="20"/>
              </w:rPr>
              <w:t xml:space="preserve"> en restauration collective communale</w:t>
            </w:r>
            <w:r>
              <w:rPr>
                <w:color w:val="000000"/>
              </w:rPr>
              <w:t xml:space="preserve"> </w:t>
            </w:r>
          </w:p>
        </w:tc>
        <w:tc>
          <w:tcPr>
            <w:tcW w:w="3701" w:type="dxa"/>
            <w:tcBorders>
              <w:top w:val="single" w:sz="22" w:space="0" w:color="FFFFFF"/>
              <w:left w:val="single" w:sz="4" w:space="0" w:color="CBD5E0"/>
              <w:bottom w:val="single" w:sz="4" w:space="0" w:color="CBD5E0"/>
              <w:right w:val="single" w:sz="4" w:space="0" w:color="CBD5E0"/>
            </w:tcBorders>
          </w:tcPr>
          <w:p w14:paraId="4CB340F7" w14:textId="77777777" w:rsidR="00C1273C" w:rsidRDefault="00000000">
            <w:pPr>
              <w:spacing w:after="13" w:line="242" w:lineRule="auto"/>
              <w:ind w:left="1" w:firstLine="0"/>
            </w:pPr>
            <w:r>
              <w:rPr>
                <w:sz w:val="20"/>
              </w:rPr>
              <w:t xml:space="preserve">L'application d'une obligation légale existante — révélateur de la volonté </w:t>
            </w:r>
          </w:p>
          <w:p w14:paraId="13D01B53" w14:textId="77777777" w:rsidR="00C1273C" w:rsidRDefault="00000000">
            <w:pPr>
              <w:spacing w:after="0" w:line="259" w:lineRule="auto"/>
              <w:ind w:left="1" w:firstLine="0"/>
            </w:pPr>
            <w:proofErr w:type="gramStart"/>
            <w:r>
              <w:rPr>
                <w:sz w:val="20"/>
              </w:rPr>
              <w:t>politique</w:t>
            </w:r>
            <w:proofErr w:type="gramEnd"/>
            <w:r>
              <w:rPr>
                <w:sz w:val="20"/>
              </w:rPr>
              <w:t xml:space="preserve"> locale</w:t>
            </w:r>
            <w:r>
              <w:rPr>
                <w:color w:val="000000"/>
              </w:rPr>
              <w:t xml:space="preserve"> </w:t>
            </w:r>
          </w:p>
        </w:tc>
        <w:tc>
          <w:tcPr>
            <w:tcW w:w="2258" w:type="dxa"/>
            <w:tcBorders>
              <w:top w:val="single" w:sz="22" w:space="0" w:color="FFFFFF"/>
              <w:left w:val="single" w:sz="4" w:space="0" w:color="CBD5E0"/>
              <w:bottom w:val="single" w:sz="4" w:space="0" w:color="CBD5E0"/>
              <w:right w:val="single" w:sz="4" w:space="0" w:color="CBD5E0"/>
            </w:tcBorders>
          </w:tcPr>
          <w:p w14:paraId="31B4FF98" w14:textId="77777777" w:rsidR="00C1273C" w:rsidRDefault="00000000">
            <w:pPr>
              <w:spacing w:after="0" w:line="259" w:lineRule="auto"/>
              <w:ind w:left="1" w:firstLine="0"/>
            </w:pPr>
            <w:r>
              <w:rPr>
                <w:sz w:val="20"/>
              </w:rPr>
              <w:t>Communes, Agence Bio</w:t>
            </w:r>
            <w:r>
              <w:rPr>
                <w:color w:val="000000"/>
              </w:rPr>
              <w:t xml:space="preserve"> </w:t>
            </w:r>
          </w:p>
        </w:tc>
      </w:tr>
      <w:tr w:rsidR="00C1273C" w14:paraId="7B9806DE" w14:textId="77777777">
        <w:trPr>
          <w:trHeight w:val="851"/>
        </w:trPr>
        <w:tc>
          <w:tcPr>
            <w:tcW w:w="3300" w:type="dxa"/>
            <w:tcBorders>
              <w:top w:val="single" w:sz="4" w:space="0" w:color="CBD5E0"/>
              <w:left w:val="single" w:sz="4" w:space="0" w:color="CBD5E0"/>
              <w:bottom w:val="single" w:sz="22" w:space="0" w:color="FFFFFF"/>
              <w:right w:val="single" w:sz="4" w:space="0" w:color="CBD5E0"/>
            </w:tcBorders>
            <w:shd w:val="clear" w:color="auto" w:fill="F7F8FA"/>
          </w:tcPr>
          <w:p w14:paraId="24BC795F" w14:textId="77777777" w:rsidR="00C1273C" w:rsidRDefault="00000000">
            <w:pPr>
              <w:spacing w:after="0" w:line="259" w:lineRule="auto"/>
              <w:ind w:left="0" w:firstLine="0"/>
            </w:pPr>
            <w:r>
              <w:rPr>
                <w:sz w:val="20"/>
              </w:rPr>
              <w:t>Nombre d'exploitations en démarche collective (CUMA, GIEE, groupement producteurs)</w:t>
            </w:r>
            <w:r>
              <w:rPr>
                <w:color w:val="000000"/>
              </w:rPr>
              <w:t xml:space="preserve"> </w:t>
            </w:r>
          </w:p>
        </w:tc>
        <w:tc>
          <w:tcPr>
            <w:tcW w:w="3701" w:type="dxa"/>
            <w:tcBorders>
              <w:top w:val="single" w:sz="4" w:space="0" w:color="CBD5E0"/>
              <w:left w:val="single" w:sz="4" w:space="0" w:color="CBD5E0"/>
              <w:bottom w:val="single" w:sz="22" w:space="0" w:color="FFFFFF"/>
              <w:right w:val="single" w:sz="4" w:space="0" w:color="CBD5E0"/>
            </w:tcBorders>
            <w:shd w:val="clear" w:color="auto" w:fill="F7F8FA"/>
          </w:tcPr>
          <w:p w14:paraId="6D88F3D2" w14:textId="77777777" w:rsidR="00C1273C" w:rsidRDefault="00000000">
            <w:pPr>
              <w:spacing w:after="0" w:line="259" w:lineRule="auto"/>
              <w:ind w:left="1" w:firstLine="0"/>
            </w:pPr>
            <w:r>
              <w:rPr>
                <w:sz w:val="20"/>
              </w:rPr>
              <w:t>La coopération effective entre agriculteurs — condition de viabilité économique des transitions</w:t>
            </w:r>
            <w:r>
              <w:rPr>
                <w:color w:val="000000"/>
              </w:rPr>
              <w:t xml:space="preserve"> </w:t>
            </w:r>
          </w:p>
        </w:tc>
        <w:tc>
          <w:tcPr>
            <w:tcW w:w="2258" w:type="dxa"/>
            <w:tcBorders>
              <w:top w:val="single" w:sz="4" w:space="0" w:color="CBD5E0"/>
              <w:left w:val="single" w:sz="4" w:space="0" w:color="CBD5E0"/>
              <w:bottom w:val="single" w:sz="22" w:space="0" w:color="FFFFFF"/>
              <w:right w:val="single" w:sz="4" w:space="0" w:color="CBD5E0"/>
            </w:tcBorders>
            <w:shd w:val="clear" w:color="auto" w:fill="F7F8FA"/>
          </w:tcPr>
          <w:p w14:paraId="39FEB5FA" w14:textId="77777777" w:rsidR="00C1273C" w:rsidRDefault="00000000">
            <w:pPr>
              <w:spacing w:after="0" w:line="259" w:lineRule="auto"/>
              <w:ind w:left="1" w:firstLine="0"/>
            </w:pPr>
            <w:r>
              <w:rPr>
                <w:sz w:val="20"/>
              </w:rPr>
              <w:t>Chambres agriculture, SAFER</w:t>
            </w:r>
            <w:r>
              <w:rPr>
                <w:color w:val="000000"/>
              </w:rPr>
              <w:t xml:space="preserve"> </w:t>
            </w:r>
          </w:p>
        </w:tc>
      </w:tr>
      <w:tr w:rsidR="00C1273C" w14:paraId="3A496751" w14:textId="77777777">
        <w:trPr>
          <w:trHeight w:val="854"/>
        </w:trPr>
        <w:tc>
          <w:tcPr>
            <w:tcW w:w="3300" w:type="dxa"/>
            <w:tcBorders>
              <w:top w:val="single" w:sz="22" w:space="0" w:color="FFFFFF"/>
              <w:left w:val="single" w:sz="4" w:space="0" w:color="CBD5E0"/>
              <w:bottom w:val="single" w:sz="4" w:space="0" w:color="CBD5E0"/>
              <w:right w:val="single" w:sz="4" w:space="0" w:color="CBD5E0"/>
            </w:tcBorders>
          </w:tcPr>
          <w:p w14:paraId="124C64B1" w14:textId="77777777" w:rsidR="00C1273C" w:rsidRDefault="00000000">
            <w:pPr>
              <w:spacing w:after="0" w:line="259" w:lineRule="auto"/>
              <w:ind w:left="0" w:firstLine="0"/>
            </w:pPr>
            <w:r>
              <w:rPr>
                <w:sz w:val="20"/>
              </w:rPr>
              <w:t>Emplois non-délocalisables créés ou maintenus dans les filières alimentaires locales</w:t>
            </w:r>
            <w:r>
              <w:rPr>
                <w:color w:val="000000"/>
              </w:rPr>
              <w:t xml:space="preserve"> </w:t>
            </w:r>
          </w:p>
        </w:tc>
        <w:tc>
          <w:tcPr>
            <w:tcW w:w="3701" w:type="dxa"/>
            <w:tcBorders>
              <w:top w:val="single" w:sz="22" w:space="0" w:color="FFFFFF"/>
              <w:left w:val="single" w:sz="4" w:space="0" w:color="CBD5E0"/>
              <w:bottom w:val="single" w:sz="4" w:space="0" w:color="CBD5E0"/>
              <w:right w:val="single" w:sz="4" w:space="0" w:color="CBD5E0"/>
            </w:tcBorders>
          </w:tcPr>
          <w:p w14:paraId="17BF9F76" w14:textId="77777777" w:rsidR="00C1273C" w:rsidRDefault="00000000">
            <w:pPr>
              <w:spacing w:after="0" w:line="259" w:lineRule="auto"/>
              <w:ind w:left="1" w:firstLine="0"/>
              <w:jc w:val="both"/>
            </w:pPr>
            <w:r>
              <w:rPr>
                <w:sz w:val="20"/>
              </w:rPr>
              <w:t>La valeur économique territoriale de la résilience — argument direct pour les élus</w:t>
            </w:r>
            <w:r>
              <w:rPr>
                <w:color w:val="000000"/>
              </w:rPr>
              <w:t xml:space="preserve"> </w:t>
            </w:r>
          </w:p>
        </w:tc>
        <w:tc>
          <w:tcPr>
            <w:tcW w:w="2258" w:type="dxa"/>
            <w:tcBorders>
              <w:top w:val="single" w:sz="22" w:space="0" w:color="FFFFFF"/>
              <w:left w:val="single" w:sz="4" w:space="0" w:color="CBD5E0"/>
              <w:bottom w:val="single" w:sz="4" w:space="0" w:color="CBD5E0"/>
              <w:right w:val="single" w:sz="4" w:space="0" w:color="CBD5E0"/>
            </w:tcBorders>
          </w:tcPr>
          <w:p w14:paraId="2D553E72" w14:textId="77777777" w:rsidR="00C1273C" w:rsidRDefault="00000000">
            <w:pPr>
              <w:spacing w:after="0" w:line="259" w:lineRule="auto"/>
              <w:ind w:left="1" w:firstLine="0"/>
            </w:pPr>
            <w:r>
              <w:rPr>
                <w:sz w:val="20"/>
              </w:rPr>
              <w:t>France Travail, EPCI, IAE</w:t>
            </w:r>
            <w:r>
              <w:rPr>
                <w:color w:val="000000"/>
              </w:rPr>
              <w:t xml:space="preserve"> </w:t>
            </w:r>
          </w:p>
        </w:tc>
      </w:tr>
    </w:tbl>
    <w:p w14:paraId="2D0D6857" w14:textId="77777777" w:rsidR="00C1273C" w:rsidRDefault="00000000">
      <w:pPr>
        <w:spacing w:after="237" w:line="259" w:lineRule="auto"/>
        <w:ind w:left="0" w:firstLine="0"/>
      </w:pPr>
      <w:r>
        <w:rPr>
          <w:color w:val="000000"/>
        </w:rPr>
        <w:t xml:space="preserve"> </w:t>
      </w:r>
    </w:p>
    <w:p w14:paraId="7668AA3E" w14:textId="77777777" w:rsidR="00C1273C" w:rsidRDefault="00000000">
      <w:pPr>
        <w:pStyle w:val="Titre2"/>
        <w:ind w:left="-5"/>
      </w:pPr>
      <w:r>
        <w:t>Indicateurs systémiques — pour les arbitrages publics</w:t>
      </w:r>
      <w:r>
        <w:rPr>
          <w:color w:val="000000"/>
        </w:rPr>
        <w:t xml:space="preserve"> </w:t>
      </w:r>
    </w:p>
    <w:tbl>
      <w:tblPr>
        <w:tblStyle w:val="TableGrid"/>
        <w:tblW w:w="9259" w:type="dxa"/>
        <w:tblInd w:w="6" w:type="dxa"/>
        <w:tblCellMar>
          <w:top w:w="78" w:type="dxa"/>
          <w:left w:w="109" w:type="dxa"/>
          <w:bottom w:w="0" w:type="dxa"/>
          <w:right w:w="71" w:type="dxa"/>
        </w:tblCellMar>
        <w:tblLook w:val="04A0" w:firstRow="1" w:lastRow="0" w:firstColumn="1" w:lastColumn="0" w:noHBand="0" w:noVBand="1"/>
      </w:tblPr>
      <w:tblGrid>
        <w:gridCol w:w="3300"/>
        <w:gridCol w:w="3501"/>
        <w:gridCol w:w="2458"/>
      </w:tblGrid>
      <w:tr w:rsidR="00C1273C" w14:paraId="328282A6" w14:textId="77777777">
        <w:trPr>
          <w:trHeight w:val="361"/>
        </w:trPr>
        <w:tc>
          <w:tcPr>
            <w:tcW w:w="3300" w:type="dxa"/>
            <w:tcBorders>
              <w:top w:val="single" w:sz="32" w:space="0" w:color="1B3A6B"/>
              <w:left w:val="single" w:sz="4" w:space="0" w:color="1B3A6B"/>
              <w:bottom w:val="single" w:sz="22" w:space="0" w:color="FFFFFF"/>
              <w:right w:val="single" w:sz="4" w:space="0" w:color="1B3A6B"/>
            </w:tcBorders>
            <w:shd w:val="clear" w:color="auto" w:fill="1B3A6B"/>
          </w:tcPr>
          <w:p w14:paraId="28580828" w14:textId="77777777" w:rsidR="00C1273C" w:rsidRDefault="00000000">
            <w:pPr>
              <w:spacing w:after="0" w:line="259" w:lineRule="auto"/>
              <w:ind w:left="0" w:firstLine="0"/>
            </w:pPr>
            <w:r>
              <w:rPr>
                <w:b/>
                <w:color w:val="FFFFFF"/>
                <w:sz w:val="20"/>
              </w:rPr>
              <w:t>Indicateur</w:t>
            </w:r>
            <w:r>
              <w:rPr>
                <w:color w:val="FFFFFF"/>
              </w:rPr>
              <w:t xml:space="preserve"> </w:t>
            </w:r>
          </w:p>
        </w:tc>
        <w:tc>
          <w:tcPr>
            <w:tcW w:w="3501" w:type="dxa"/>
            <w:tcBorders>
              <w:top w:val="single" w:sz="32" w:space="0" w:color="1B3A6B"/>
              <w:left w:val="single" w:sz="4" w:space="0" w:color="1B3A6B"/>
              <w:bottom w:val="single" w:sz="22" w:space="0" w:color="FFFFFF"/>
              <w:right w:val="single" w:sz="4" w:space="0" w:color="1B3A6B"/>
            </w:tcBorders>
            <w:shd w:val="clear" w:color="auto" w:fill="1B3A6B"/>
          </w:tcPr>
          <w:p w14:paraId="543DB548" w14:textId="77777777" w:rsidR="00C1273C" w:rsidRDefault="00000000">
            <w:pPr>
              <w:spacing w:after="0" w:line="259" w:lineRule="auto"/>
              <w:ind w:left="1" w:firstLine="0"/>
            </w:pPr>
            <w:r>
              <w:rPr>
                <w:b/>
                <w:color w:val="FFFFFF"/>
                <w:sz w:val="20"/>
              </w:rPr>
              <w:t>Ce qu'il permet d'arbitrer</w:t>
            </w:r>
            <w:r>
              <w:rPr>
                <w:color w:val="FFFFFF"/>
              </w:rPr>
              <w:t xml:space="preserve"> </w:t>
            </w:r>
          </w:p>
        </w:tc>
        <w:tc>
          <w:tcPr>
            <w:tcW w:w="2458" w:type="dxa"/>
            <w:tcBorders>
              <w:top w:val="single" w:sz="32" w:space="0" w:color="1B3A6B"/>
              <w:left w:val="single" w:sz="4" w:space="0" w:color="1B3A6B"/>
              <w:bottom w:val="single" w:sz="22" w:space="0" w:color="FFFFFF"/>
              <w:right w:val="single" w:sz="4" w:space="0" w:color="1B3A6B"/>
            </w:tcBorders>
            <w:shd w:val="clear" w:color="auto" w:fill="1B3A6B"/>
          </w:tcPr>
          <w:p w14:paraId="5E606152" w14:textId="77777777" w:rsidR="00C1273C" w:rsidRDefault="00000000">
            <w:pPr>
              <w:spacing w:after="0" w:line="259" w:lineRule="auto"/>
              <w:ind w:left="0" w:firstLine="0"/>
            </w:pPr>
            <w:r>
              <w:rPr>
                <w:b/>
                <w:color w:val="FFFFFF"/>
                <w:sz w:val="20"/>
              </w:rPr>
              <w:t>Source de données</w:t>
            </w:r>
            <w:r>
              <w:rPr>
                <w:color w:val="FFFFFF"/>
              </w:rPr>
              <w:t xml:space="preserve"> </w:t>
            </w:r>
          </w:p>
        </w:tc>
      </w:tr>
      <w:tr w:rsidR="00C1273C" w14:paraId="52CE4D94" w14:textId="77777777">
        <w:trPr>
          <w:trHeight w:val="1124"/>
        </w:trPr>
        <w:tc>
          <w:tcPr>
            <w:tcW w:w="3300" w:type="dxa"/>
            <w:tcBorders>
              <w:top w:val="single" w:sz="22" w:space="0" w:color="FFFFFF"/>
              <w:left w:val="single" w:sz="4" w:space="0" w:color="CBD5E0"/>
              <w:bottom w:val="single" w:sz="4" w:space="0" w:color="CBD5E0"/>
              <w:right w:val="single" w:sz="4" w:space="0" w:color="CBD5E0"/>
            </w:tcBorders>
          </w:tcPr>
          <w:p w14:paraId="53DAD772" w14:textId="77777777" w:rsidR="00C1273C" w:rsidRDefault="00000000">
            <w:pPr>
              <w:spacing w:after="0" w:line="259" w:lineRule="auto"/>
              <w:ind w:left="0" w:firstLine="0"/>
            </w:pPr>
            <w:r>
              <w:rPr>
                <w:sz w:val="20"/>
              </w:rPr>
              <w:lastRenderedPageBreak/>
              <w:t>Coût évité par l'Assurance maladie grâce à la réduction des pathologies alimentaires chroniques (territoire pilote, 3 ans)</w:t>
            </w:r>
            <w:r>
              <w:rPr>
                <w:color w:val="000000"/>
              </w:rPr>
              <w:t xml:space="preserve"> </w:t>
            </w:r>
          </w:p>
        </w:tc>
        <w:tc>
          <w:tcPr>
            <w:tcW w:w="3501" w:type="dxa"/>
            <w:tcBorders>
              <w:top w:val="single" w:sz="22" w:space="0" w:color="FFFFFF"/>
              <w:left w:val="single" w:sz="4" w:space="0" w:color="CBD5E0"/>
              <w:bottom w:val="single" w:sz="4" w:space="0" w:color="CBD5E0"/>
              <w:right w:val="single" w:sz="4" w:space="0" w:color="CBD5E0"/>
            </w:tcBorders>
          </w:tcPr>
          <w:p w14:paraId="0D8812A6" w14:textId="77777777" w:rsidR="00C1273C" w:rsidRDefault="00000000">
            <w:pPr>
              <w:spacing w:after="0" w:line="259" w:lineRule="auto"/>
              <w:ind w:left="1" w:firstLine="0"/>
            </w:pPr>
            <w:r>
              <w:rPr>
                <w:sz w:val="20"/>
              </w:rPr>
              <w:t>Retour sur investissement sanitaire des politiques alimentaires locales — argument pour les ARS et les arbitrages PLFSS</w:t>
            </w:r>
            <w:r>
              <w:rPr>
                <w:color w:val="000000"/>
              </w:rPr>
              <w:t xml:space="preserve"> </w:t>
            </w:r>
          </w:p>
        </w:tc>
        <w:tc>
          <w:tcPr>
            <w:tcW w:w="2458" w:type="dxa"/>
            <w:tcBorders>
              <w:top w:val="single" w:sz="22" w:space="0" w:color="FFFFFF"/>
              <w:left w:val="single" w:sz="4" w:space="0" w:color="CBD5E0"/>
              <w:bottom w:val="single" w:sz="22" w:space="0" w:color="F7F8FA"/>
              <w:right w:val="single" w:sz="4" w:space="0" w:color="CBD5E0"/>
            </w:tcBorders>
          </w:tcPr>
          <w:p w14:paraId="384022CD" w14:textId="77777777" w:rsidR="00C1273C" w:rsidRDefault="00000000">
            <w:pPr>
              <w:spacing w:after="15" w:line="242" w:lineRule="auto"/>
              <w:ind w:left="0" w:firstLine="0"/>
            </w:pPr>
            <w:r>
              <w:rPr>
                <w:sz w:val="20"/>
              </w:rPr>
              <w:t xml:space="preserve">CNAM, données épidémiologiques </w:t>
            </w:r>
          </w:p>
          <w:p w14:paraId="0F83EAAB" w14:textId="77777777" w:rsidR="00C1273C" w:rsidRDefault="00000000">
            <w:pPr>
              <w:spacing w:after="0" w:line="259" w:lineRule="auto"/>
              <w:ind w:left="0" w:firstLine="0"/>
            </w:pPr>
            <w:proofErr w:type="gramStart"/>
            <w:r>
              <w:rPr>
                <w:sz w:val="20"/>
              </w:rPr>
              <w:t>territoriales</w:t>
            </w:r>
            <w:proofErr w:type="gramEnd"/>
            <w:r>
              <w:rPr>
                <w:color w:val="000000"/>
              </w:rPr>
              <w:t xml:space="preserve"> </w:t>
            </w:r>
          </w:p>
        </w:tc>
      </w:tr>
      <w:tr w:rsidR="00C1273C" w14:paraId="489FAD6C" w14:textId="77777777">
        <w:trPr>
          <w:trHeight w:val="830"/>
        </w:trPr>
        <w:tc>
          <w:tcPr>
            <w:tcW w:w="3300" w:type="dxa"/>
            <w:tcBorders>
              <w:top w:val="single" w:sz="4" w:space="0" w:color="CBD5E0"/>
              <w:left w:val="single" w:sz="4" w:space="0" w:color="CBD5E0"/>
              <w:bottom w:val="single" w:sz="4" w:space="0" w:color="CBD5E0"/>
              <w:right w:val="single" w:sz="4" w:space="0" w:color="CBD5E0"/>
            </w:tcBorders>
            <w:shd w:val="clear" w:color="auto" w:fill="F7F8FA"/>
          </w:tcPr>
          <w:p w14:paraId="4F830E17" w14:textId="77777777" w:rsidR="00C1273C" w:rsidRDefault="00000000">
            <w:pPr>
              <w:spacing w:after="0" w:line="259" w:lineRule="auto"/>
              <w:ind w:left="0" w:firstLine="0"/>
            </w:pPr>
            <w:r>
              <w:rPr>
                <w:sz w:val="20"/>
              </w:rPr>
              <w:t xml:space="preserve">Ratio investissement public / </w:t>
            </w:r>
          </w:p>
          <w:p w14:paraId="71C074B3" w14:textId="77777777" w:rsidR="00C1273C" w:rsidRDefault="00000000">
            <w:pPr>
              <w:spacing w:after="0" w:line="259" w:lineRule="auto"/>
              <w:ind w:left="0" w:firstLine="0"/>
            </w:pPr>
            <w:proofErr w:type="gramStart"/>
            <w:r>
              <w:rPr>
                <w:sz w:val="20"/>
              </w:rPr>
              <w:t>externalités</w:t>
            </w:r>
            <w:proofErr w:type="gramEnd"/>
            <w:r>
              <w:rPr>
                <w:sz w:val="20"/>
              </w:rPr>
              <w:t xml:space="preserve"> positives générées (santé + emploi + cohésion + biodiversité)</w:t>
            </w:r>
            <w:r>
              <w:rPr>
                <w:color w:val="000000"/>
              </w:rPr>
              <w:t xml:space="preserve"> </w:t>
            </w:r>
          </w:p>
        </w:tc>
        <w:tc>
          <w:tcPr>
            <w:tcW w:w="3501" w:type="dxa"/>
            <w:tcBorders>
              <w:top w:val="single" w:sz="4" w:space="0" w:color="CBD5E0"/>
              <w:left w:val="single" w:sz="4" w:space="0" w:color="CBD5E0"/>
              <w:bottom w:val="single" w:sz="4" w:space="0" w:color="CBD5E0"/>
              <w:right w:val="single" w:sz="4" w:space="0" w:color="CBD5E0"/>
            </w:tcBorders>
            <w:shd w:val="clear" w:color="auto" w:fill="F7F8FA"/>
          </w:tcPr>
          <w:p w14:paraId="7F49E9E4" w14:textId="77777777" w:rsidR="00C1273C" w:rsidRDefault="00000000">
            <w:pPr>
              <w:spacing w:after="0" w:line="259" w:lineRule="auto"/>
              <w:ind w:left="1" w:firstLine="0"/>
            </w:pPr>
            <w:r>
              <w:rPr>
                <w:sz w:val="20"/>
              </w:rPr>
              <w:t xml:space="preserve">Calcul de ROI transversal compatible avec la LOLF — fonde l'argument pour les arbitrages </w:t>
            </w:r>
            <w:proofErr w:type="spellStart"/>
            <w:r>
              <w:rPr>
                <w:sz w:val="20"/>
              </w:rPr>
              <w:t>inter-ministériels</w:t>
            </w:r>
            <w:proofErr w:type="spellEnd"/>
            <w:r>
              <w:rPr>
                <w:color w:val="000000"/>
              </w:rPr>
              <w:t xml:space="preserve"> </w:t>
            </w:r>
          </w:p>
        </w:tc>
        <w:tc>
          <w:tcPr>
            <w:tcW w:w="2458" w:type="dxa"/>
            <w:tcBorders>
              <w:top w:val="single" w:sz="22" w:space="0" w:color="F7F8FA"/>
              <w:left w:val="single" w:sz="4" w:space="0" w:color="CBD5E0"/>
              <w:bottom w:val="single" w:sz="4" w:space="0" w:color="CBD5E0"/>
              <w:right w:val="single" w:sz="4" w:space="0" w:color="CBD5E0"/>
            </w:tcBorders>
            <w:shd w:val="clear" w:color="auto" w:fill="F7F8FA"/>
          </w:tcPr>
          <w:p w14:paraId="519EBB33" w14:textId="77777777" w:rsidR="00C1273C" w:rsidRDefault="00000000">
            <w:pPr>
              <w:spacing w:after="0" w:line="259" w:lineRule="auto"/>
              <w:ind w:left="0" w:firstLine="0"/>
            </w:pPr>
            <w:proofErr w:type="gramStart"/>
            <w:r>
              <w:rPr>
                <w:sz w:val="20"/>
              </w:rPr>
              <w:t>Croisement données</w:t>
            </w:r>
            <w:proofErr w:type="gramEnd"/>
            <w:r>
              <w:rPr>
                <w:sz w:val="20"/>
              </w:rPr>
              <w:t xml:space="preserve"> </w:t>
            </w:r>
          </w:p>
          <w:p w14:paraId="5180789B" w14:textId="77777777" w:rsidR="00C1273C" w:rsidRDefault="00000000">
            <w:pPr>
              <w:spacing w:after="0" w:line="259" w:lineRule="auto"/>
              <w:ind w:left="0" w:firstLine="0"/>
            </w:pPr>
            <w:r>
              <w:rPr>
                <w:sz w:val="20"/>
              </w:rPr>
              <w:t>DREETS / ARS / collectivités</w:t>
            </w:r>
            <w:r>
              <w:rPr>
                <w:color w:val="000000"/>
              </w:rPr>
              <w:t xml:space="preserve"> </w:t>
            </w:r>
          </w:p>
        </w:tc>
      </w:tr>
      <w:tr w:rsidR="00C1273C" w14:paraId="5238AD98" w14:textId="77777777">
        <w:trPr>
          <w:trHeight w:val="877"/>
        </w:trPr>
        <w:tc>
          <w:tcPr>
            <w:tcW w:w="3300" w:type="dxa"/>
            <w:tcBorders>
              <w:top w:val="single" w:sz="4" w:space="0" w:color="CBD5E0"/>
              <w:left w:val="single" w:sz="4" w:space="0" w:color="CBD5E0"/>
              <w:bottom w:val="single" w:sz="4" w:space="0" w:color="CBD5E0"/>
              <w:right w:val="single" w:sz="4" w:space="0" w:color="CBD5E0"/>
            </w:tcBorders>
          </w:tcPr>
          <w:p w14:paraId="30CCDD47" w14:textId="77777777" w:rsidR="00C1273C" w:rsidRDefault="00000000">
            <w:pPr>
              <w:spacing w:after="15" w:line="242" w:lineRule="auto"/>
              <w:ind w:left="0" w:firstLine="0"/>
            </w:pPr>
            <w:r>
              <w:rPr>
                <w:sz w:val="20"/>
              </w:rPr>
              <w:t xml:space="preserve">Part des budgets publics territoriaux consacrés à des dépenses </w:t>
            </w:r>
          </w:p>
          <w:p w14:paraId="3E51CCDA" w14:textId="77777777" w:rsidR="00C1273C" w:rsidRDefault="00000000">
            <w:pPr>
              <w:spacing w:after="0" w:line="259" w:lineRule="auto"/>
              <w:ind w:left="0" w:firstLine="0"/>
            </w:pPr>
            <w:proofErr w:type="gramStart"/>
            <w:r>
              <w:rPr>
                <w:sz w:val="20"/>
              </w:rPr>
              <w:t>alimentaires</w:t>
            </w:r>
            <w:proofErr w:type="gramEnd"/>
            <w:r>
              <w:rPr>
                <w:sz w:val="20"/>
              </w:rPr>
              <w:t xml:space="preserve"> curatives vs préventives</w:t>
            </w:r>
            <w:r>
              <w:rPr>
                <w:color w:val="000000"/>
              </w:rPr>
              <w:t xml:space="preserve"> </w:t>
            </w:r>
          </w:p>
        </w:tc>
        <w:tc>
          <w:tcPr>
            <w:tcW w:w="3501" w:type="dxa"/>
            <w:tcBorders>
              <w:top w:val="single" w:sz="4" w:space="0" w:color="CBD5E0"/>
              <w:left w:val="single" w:sz="4" w:space="0" w:color="CBD5E0"/>
              <w:bottom w:val="single" w:sz="4" w:space="0" w:color="CBD5E0"/>
              <w:right w:val="single" w:sz="4" w:space="0" w:color="CBD5E0"/>
            </w:tcBorders>
          </w:tcPr>
          <w:p w14:paraId="632C9BCA" w14:textId="77777777" w:rsidR="00C1273C" w:rsidRDefault="00000000">
            <w:pPr>
              <w:spacing w:after="0" w:line="259" w:lineRule="auto"/>
              <w:ind w:left="1" w:firstLine="0"/>
            </w:pPr>
            <w:r>
              <w:rPr>
                <w:sz w:val="20"/>
              </w:rPr>
              <w:t>Rend visible le déséquilibre actuel — argument pour une réorientation budgétaire sans budget nouveau</w:t>
            </w:r>
            <w:r>
              <w:rPr>
                <w:color w:val="000000"/>
              </w:rPr>
              <w:t xml:space="preserve"> </w:t>
            </w:r>
          </w:p>
        </w:tc>
        <w:tc>
          <w:tcPr>
            <w:tcW w:w="2458" w:type="dxa"/>
            <w:tcBorders>
              <w:top w:val="single" w:sz="4" w:space="0" w:color="CBD5E0"/>
              <w:left w:val="single" w:sz="4" w:space="0" w:color="CBD5E0"/>
              <w:bottom w:val="single" w:sz="22" w:space="0" w:color="F7F8FA"/>
              <w:right w:val="single" w:sz="4" w:space="0" w:color="CBD5E0"/>
            </w:tcBorders>
          </w:tcPr>
          <w:p w14:paraId="416170FF" w14:textId="77777777" w:rsidR="00C1273C" w:rsidRDefault="00000000">
            <w:pPr>
              <w:spacing w:after="0" w:line="259" w:lineRule="auto"/>
              <w:ind w:left="0" w:firstLine="0"/>
            </w:pPr>
            <w:r>
              <w:rPr>
                <w:sz w:val="20"/>
              </w:rPr>
              <w:t>Comptes publics locaux, CAF, Assurance maladie</w:t>
            </w:r>
            <w:r>
              <w:rPr>
                <w:color w:val="000000"/>
              </w:rPr>
              <w:t xml:space="preserve"> </w:t>
            </w:r>
          </w:p>
        </w:tc>
      </w:tr>
      <w:tr w:rsidR="00C1273C" w14:paraId="4C068750" w14:textId="77777777">
        <w:trPr>
          <w:trHeight w:val="1053"/>
        </w:trPr>
        <w:tc>
          <w:tcPr>
            <w:tcW w:w="3300" w:type="dxa"/>
            <w:tcBorders>
              <w:top w:val="single" w:sz="4" w:space="0" w:color="CBD5E0"/>
              <w:left w:val="single" w:sz="4" w:space="0" w:color="CBD5E0"/>
              <w:bottom w:val="single" w:sz="4" w:space="0" w:color="CBD5E0"/>
              <w:right w:val="single" w:sz="4" w:space="0" w:color="CBD5E0"/>
            </w:tcBorders>
            <w:shd w:val="clear" w:color="auto" w:fill="F7F8FA"/>
          </w:tcPr>
          <w:p w14:paraId="63687A95" w14:textId="77777777" w:rsidR="00C1273C" w:rsidRDefault="00000000">
            <w:pPr>
              <w:spacing w:after="0" w:line="259" w:lineRule="auto"/>
              <w:ind w:left="0" w:right="30" w:firstLine="0"/>
            </w:pPr>
            <w:r>
              <w:rPr>
                <w:sz w:val="20"/>
              </w:rPr>
              <w:t>Taux de couverture territoriale par des dispositifs de résilience formalisés (PAT, CRTE alimentation, contrats pilotes)</w:t>
            </w:r>
            <w:r>
              <w:rPr>
                <w:color w:val="000000"/>
              </w:rPr>
              <w:t xml:space="preserve"> </w:t>
            </w:r>
          </w:p>
        </w:tc>
        <w:tc>
          <w:tcPr>
            <w:tcW w:w="3501" w:type="dxa"/>
            <w:tcBorders>
              <w:top w:val="single" w:sz="4" w:space="0" w:color="CBD5E0"/>
              <w:left w:val="single" w:sz="4" w:space="0" w:color="CBD5E0"/>
              <w:bottom w:val="single" w:sz="4" w:space="0" w:color="CBD5E0"/>
              <w:right w:val="single" w:sz="4" w:space="0" w:color="CBD5E0"/>
            </w:tcBorders>
            <w:shd w:val="clear" w:color="auto" w:fill="F7F8FA"/>
          </w:tcPr>
          <w:p w14:paraId="3A338237" w14:textId="77777777" w:rsidR="00C1273C" w:rsidRDefault="00000000">
            <w:pPr>
              <w:spacing w:after="0" w:line="259" w:lineRule="auto"/>
              <w:ind w:left="1" w:right="9" w:firstLine="0"/>
            </w:pPr>
            <w:r>
              <w:rPr>
                <w:sz w:val="20"/>
              </w:rPr>
              <w:t>Pilotage du déploiement national — intégrable dans les Politiques Prioritaires du Gouvernement (PPG)</w:t>
            </w:r>
            <w:r>
              <w:rPr>
                <w:color w:val="000000"/>
              </w:rPr>
              <w:t xml:space="preserve"> </w:t>
            </w:r>
          </w:p>
        </w:tc>
        <w:tc>
          <w:tcPr>
            <w:tcW w:w="2458" w:type="dxa"/>
            <w:tcBorders>
              <w:top w:val="single" w:sz="22" w:space="0" w:color="F7F8FA"/>
              <w:left w:val="single" w:sz="4" w:space="0" w:color="CBD5E0"/>
              <w:bottom w:val="single" w:sz="4" w:space="0" w:color="CBD5E0"/>
              <w:right w:val="single" w:sz="4" w:space="0" w:color="CBD5E0"/>
            </w:tcBorders>
            <w:shd w:val="clear" w:color="auto" w:fill="F7F8FA"/>
          </w:tcPr>
          <w:p w14:paraId="65175AE2" w14:textId="77777777" w:rsidR="00C1273C" w:rsidRDefault="00000000">
            <w:pPr>
              <w:spacing w:after="0" w:line="259" w:lineRule="auto"/>
              <w:ind w:left="0" w:firstLine="0"/>
            </w:pPr>
            <w:r>
              <w:rPr>
                <w:sz w:val="20"/>
              </w:rPr>
              <w:t>Ministère Agriculture, ANCT, préfectures</w:t>
            </w:r>
            <w:r>
              <w:rPr>
                <w:color w:val="000000"/>
              </w:rPr>
              <w:t xml:space="preserve"> </w:t>
            </w:r>
          </w:p>
        </w:tc>
      </w:tr>
    </w:tbl>
    <w:p w14:paraId="3181E187" w14:textId="77777777" w:rsidR="00C1273C" w:rsidRDefault="00000000">
      <w:pPr>
        <w:spacing w:after="79" w:line="259" w:lineRule="auto"/>
        <w:ind w:left="0" w:firstLine="0"/>
      </w:pPr>
      <w:r>
        <w:rPr>
          <w:color w:val="000000"/>
        </w:rPr>
        <w:t xml:space="preserve"> </w:t>
      </w:r>
    </w:p>
    <w:p w14:paraId="5EB5CD3C" w14:textId="77777777" w:rsidR="00C1273C" w:rsidRDefault="00000000">
      <w:pPr>
        <w:spacing w:after="0" w:line="259" w:lineRule="auto"/>
        <w:ind w:left="0" w:firstLine="0"/>
      </w:pPr>
      <w:r>
        <w:rPr>
          <w:color w:val="000000"/>
        </w:rPr>
        <w:t xml:space="preserve"> </w:t>
      </w:r>
    </w:p>
    <w:p w14:paraId="7F8F64CA" w14:textId="77777777" w:rsidR="00C1273C" w:rsidRDefault="00000000">
      <w:pPr>
        <w:pBdr>
          <w:top w:val="single" w:sz="4" w:space="0" w:color="B7860B"/>
          <w:left w:val="single" w:sz="4" w:space="0" w:color="B7860B"/>
          <w:bottom w:val="single" w:sz="4" w:space="0" w:color="B7860B"/>
          <w:right w:val="single" w:sz="4" w:space="0" w:color="B7860B"/>
        </w:pBdr>
        <w:shd w:val="clear" w:color="auto" w:fill="FDF6E3"/>
        <w:spacing w:after="41" w:line="259" w:lineRule="auto"/>
        <w:ind w:left="201" w:right="312" w:firstLine="0"/>
      </w:pPr>
      <w:r>
        <w:rPr>
          <w:b/>
          <w:color w:val="B7860B"/>
        </w:rPr>
        <w:t>Le chaînon manquant : un référentiel commun de mesure</w:t>
      </w:r>
      <w:r>
        <w:rPr>
          <w:color w:val="000000"/>
        </w:rPr>
        <w:t xml:space="preserve"> </w:t>
      </w:r>
    </w:p>
    <w:p w14:paraId="3B1A8C19" w14:textId="77777777" w:rsidR="00C1273C" w:rsidRDefault="00000000">
      <w:pPr>
        <w:pBdr>
          <w:top w:val="single" w:sz="4" w:space="0" w:color="B7860B"/>
          <w:left w:val="single" w:sz="4" w:space="0" w:color="B7860B"/>
          <w:bottom w:val="single" w:sz="4" w:space="0" w:color="B7860B"/>
          <w:right w:val="single" w:sz="4" w:space="0" w:color="B7860B"/>
        </w:pBdr>
        <w:shd w:val="clear" w:color="auto" w:fill="FDF6E3"/>
        <w:spacing w:after="49" w:line="235" w:lineRule="auto"/>
        <w:ind w:left="211" w:right="312"/>
      </w:pPr>
      <w:r>
        <w:rPr>
          <w:color w:val="2D3748"/>
          <w:sz w:val="21"/>
        </w:rPr>
        <w:t>Dominique Hays l'identifie avec précision : le premier obstacle à la transition alimentaire est l'absence d'un langage commun entre les institutions qui financent, celles qui agissent et celles qui mesurent.</w:t>
      </w:r>
      <w:r>
        <w:rPr>
          <w:color w:val="000000"/>
        </w:rPr>
        <w:t xml:space="preserve"> </w:t>
      </w:r>
    </w:p>
    <w:p w14:paraId="047D7886" w14:textId="77777777" w:rsidR="00C1273C" w:rsidRDefault="00000000">
      <w:pPr>
        <w:pBdr>
          <w:top w:val="single" w:sz="4" w:space="0" w:color="B7860B"/>
          <w:left w:val="single" w:sz="4" w:space="0" w:color="B7860B"/>
          <w:bottom w:val="single" w:sz="4" w:space="0" w:color="B7860B"/>
          <w:right w:val="single" w:sz="4" w:space="0" w:color="B7860B"/>
        </w:pBdr>
        <w:shd w:val="clear" w:color="auto" w:fill="FDF6E3"/>
        <w:spacing w:after="49" w:line="235" w:lineRule="auto"/>
        <w:ind w:left="211" w:right="312"/>
      </w:pPr>
      <w:proofErr w:type="spellStart"/>
      <w:r>
        <w:rPr>
          <w:color w:val="2D3748"/>
          <w:sz w:val="21"/>
        </w:rPr>
        <w:t>Géorésilience</w:t>
      </w:r>
      <w:proofErr w:type="spellEnd"/>
      <w:r>
        <w:rPr>
          <w:color w:val="2D3748"/>
          <w:sz w:val="21"/>
        </w:rPr>
        <w:t xml:space="preserve"> assemble ce référentiel en s'appuyant sur trois cadres existants : le cadre EFC (Économie des Fonctionnalités et de la Coopération, soutenu par l'ADEME), les méthodologies d'évaluation d'impact social de l'IAE, et les indicateurs de performance transversaux de la LOLF.</w:t>
      </w:r>
      <w:r>
        <w:rPr>
          <w:color w:val="000000"/>
        </w:rPr>
        <w:t xml:space="preserve"> </w:t>
      </w:r>
    </w:p>
    <w:p w14:paraId="5C854D32" w14:textId="77777777" w:rsidR="00C1273C" w:rsidRDefault="00000000">
      <w:pPr>
        <w:pBdr>
          <w:top w:val="single" w:sz="4" w:space="0" w:color="B7860B"/>
          <w:left w:val="single" w:sz="4" w:space="0" w:color="B7860B"/>
          <w:bottom w:val="single" w:sz="4" w:space="0" w:color="B7860B"/>
          <w:right w:val="single" w:sz="4" w:space="0" w:color="B7860B"/>
        </w:pBdr>
        <w:shd w:val="clear" w:color="auto" w:fill="FDF6E3"/>
        <w:spacing w:after="325" w:line="235" w:lineRule="auto"/>
        <w:ind w:left="211" w:right="312"/>
      </w:pPr>
      <w:r>
        <w:rPr>
          <w:color w:val="2D3748"/>
          <w:sz w:val="21"/>
        </w:rPr>
        <w:t>Il n'est pas à inventer — il est à rendre opérationnel pour les 35 000 communes françaises.</w:t>
      </w:r>
      <w:r>
        <w:rPr>
          <w:color w:val="000000"/>
        </w:rPr>
        <w:t xml:space="preserve"> </w:t>
      </w:r>
    </w:p>
    <w:p w14:paraId="00EF70ED" w14:textId="77777777" w:rsidR="00C1273C" w:rsidRDefault="00000000">
      <w:pPr>
        <w:spacing w:after="398" w:line="259" w:lineRule="auto"/>
        <w:ind w:left="0" w:firstLine="0"/>
      </w:pPr>
      <w:r>
        <w:rPr>
          <w:color w:val="000000"/>
        </w:rPr>
        <w:t xml:space="preserve"> </w:t>
      </w:r>
    </w:p>
    <w:p w14:paraId="7CCBEDF0" w14:textId="77777777" w:rsidR="00C1273C" w:rsidRDefault="00000000">
      <w:pPr>
        <w:pStyle w:val="Titre1"/>
        <w:ind w:left="213" w:hanging="228"/>
      </w:pPr>
      <w:r>
        <w:t>— PROPOSITIONS DE MESURES PUBLIQUES</w:t>
      </w:r>
      <w:r>
        <w:rPr>
          <w:color w:val="000000"/>
        </w:rPr>
        <w:t xml:space="preserve"> </w:t>
      </w:r>
    </w:p>
    <w:p w14:paraId="36741915" w14:textId="77777777" w:rsidR="00C1273C" w:rsidRDefault="00000000">
      <w:pPr>
        <w:spacing w:after="204" w:line="259" w:lineRule="auto"/>
        <w:ind w:left="-29" w:right="-40" w:firstLine="0"/>
      </w:pPr>
      <w:r>
        <w:rPr>
          <w:noProof/>
          <w:color w:val="000000"/>
        </w:rPr>
        <mc:AlternateContent>
          <mc:Choice Requires="wpg">
            <w:drawing>
              <wp:inline distT="0" distB="0" distL="0" distR="0" wp14:anchorId="16225DED" wp14:editId="3F7A11F5">
                <wp:extent cx="6074410" cy="12192"/>
                <wp:effectExtent l="0" t="0" r="0" b="0"/>
                <wp:docPr id="12832" name="Group 12832"/>
                <wp:cNvGraphicFramePr/>
                <a:graphic xmlns:a="http://schemas.openxmlformats.org/drawingml/2006/main">
                  <a:graphicData uri="http://schemas.microsoft.com/office/word/2010/wordprocessingGroup">
                    <wpg:wgp>
                      <wpg:cNvGrpSpPr/>
                      <wpg:grpSpPr>
                        <a:xfrm>
                          <a:off x="0" y="0"/>
                          <a:ext cx="6074410" cy="12192"/>
                          <a:chOff x="0" y="0"/>
                          <a:chExt cx="6074410" cy="12192"/>
                        </a:xfrm>
                      </wpg:grpSpPr>
                      <wps:wsp>
                        <wps:cNvPr id="16566" name="Shape 16566"/>
                        <wps:cNvSpPr/>
                        <wps:spPr>
                          <a:xfrm>
                            <a:off x="0" y="0"/>
                            <a:ext cx="6074410" cy="12192"/>
                          </a:xfrm>
                          <a:custGeom>
                            <a:avLst/>
                            <a:gdLst/>
                            <a:ahLst/>
                            <a:cxnLst/>
                            <a:rect l="0" t="0" r="0" b="0"/>
                            <a:pathLst>
                              <a:path w="6074410" h="12192">
                                <a:moveTo>
                                  <a:pt x="0" y="0"/>
                                </a:moveTo>
                                <a:lnTo>
                                  <a:pt x="6074410" y="0"/>
                                </a:lnTo>
                                <a:lnTo>
                                  <a:pt x="6074410" y="12192"/>
                                </a:lnTo>
                                <a:lnTo>
                                  <a:pt x="0" y="12192"/>
                                </a:lnTo>
                                <a:lnTo>
                                  <a:pt x="0" y="0"/>
                                </a:lnTo>
                              </a:path>
                            </a:pathLst>
                          </a:custGeom>
                          <a:ln w="0" cap="flat">
                            <a:miter lim="127000"/>
                          </a:ln>
                        </wps:spPr>
                        <wps:style>
                          <a:lnRef idx="0">
                            <a:srgbClr val="000000">
                              <a:alpha val="0"/>
                            </a:srgbClr>
                          </a:lnRef>
                          <a:fillRef idx="1">
                            <a:srgbClr val="1B3A6B"/>
                          </a:fillRef>
                          <a:effectRef idx="0">
                            <a:scrgbClr r="0" g="0" b="0"/>
                          </a:effectRef>
                          <a:fontRef idx="none"/>
                        </wps:style>
                        <wps:bodyPr/>
                      </wps:wsp>
                    </wpg:wgp>
                  </a:graphicData>
                </a:graphic>
              </wp:inline>
            </w:drawing>
          </mc:Choice>
          <mc:Fallback xmlns:a="http://schemas.openxmlformats.org/drawingml/2006/main">
            <w:pict>
              <v:group id="Group 12832" style="width:478.3pt;height:0.960022pt;mso-position-horizontal-relative:char;mso-position-vertical-relative:line" coordsize="60744,121">
                <v:shape id="Shape 16567" style="position:absolute;width:60744;height:121;left:0;top:0;" coordsize="6074410,12192" path="m0,0l6074410,0l6074410,12192l0,12192l0,0">
                  <v:stroke weight="0pt" endcap="flat" joinstyle="miter" miterlimit="10" on="false" color="#000000" opacity="0"/>
                  <v:fill on="true" color="#1b3a6b"/>
                </v:shape>
              </v:group>
            </w:pict>
          </mc:Fallback>
        </mc:AlternateContent>
      </w:r>
    </w:p>
    <w:p w14:paraId="1EF31A9D" w14:textId="77777777" w:rsidR="00C1273C" w:rsidRDefault="00000000">
      <w:r>
        <w:t>Les mesures suivantes ne constituent pas un programme sectoriel supplémentaire. Elles réorientent l'existant et créent les conditions de la congruence inter-institutionnelle.</w:t>
      </w:r>
      <w:r>
        <w:rPr>
          <w:color w:val="000000"/>
        </w:rPr>
        <w:t xml:space="preserve"> </w:t>
      </w:r>
    </w:p>
    <w:p w14:paraId="6F50C6A9" w14:textId="77777777" w:rsidR="00C1273C" w:rsidRDefault="00000000">
      <w:pPr>
        <w:spacing w:after="237" w:line="259" w:lineRule="auto"/>
        <w:ind w:left="0" w:firstLine="0"/>
      </w:pPr>
      <w:r>
        <w:rPr>
          <w:color w:val="000000"/>
        </w:rPr>
        <w:t xml:space="preserve"> </w:t>
      </w:r>
    </w:p>
    <w:p w14:paraId="08E22221" w14:textId="77777777" w:rsidR="00C1273C" w:rsidRDefault="00000000">
      <w:pPr>
        <w:pStyle w:val="Titre2"/>
        <w:spacing w:after="58"/>
        <w:ind w:left="-5"/>
      </w:pPr>
      <w:r>
        <w:t>Axe 1 — Moderniser le cadre budgétaire et réglementaire</w:t>
      </w:r>
      <w:r>
        <w:rPr>
          <w:color w:val="000000"/>
        </w:rPr>
        <w:t xml:space="preserve"> </w:t>
      </w:r>
    </w:p>
    <w:p w14:paraId="664412A5" w14:textId="77777777" w:rsidR="00C1273C" w:rsidRDefault="00000000">
      <w:pPr>
        <w:spacing w:after="158" w:line="259" w:lineRule="auto"/>
        <w:ind w:left="0" w:firstLine="0"/>
      </w:pPr>
      <w:r>
        <w:rPr>
          <w:color w:val="000000"/>
        </w:rPr>
        <w:t xml:space="preserve"> </w:t>
      </w:r>
    </w:p>
    <w:p w14:paraId="5C8C28CB" w14:textId="77777777" w:rsidR="00C1273C" w:rsidRDefault="00000000">
      <w:pPr>
        <w:numPr>
          <w:ilvl w:val="0"/>
          <w:numId w:val="2"/>
        </w:numPr>
        <w:spacing w:after="46" w:line="259" w:lineRule="auto"/>
        <w:ind w:hanging="220"/>
      </w:pPr>
      <w:r>
        <w:rPr>
          <w:b/>
          <w:color w:val="1B3A6B"/>
        </w:rPr>
        <w:t>Créer un cadre budgétaire des externalités positives</w:t>
      </w:r>
      <w:r>
        <w:rPr>
          <w:b/>
          <w:color w:val="000000"/>
        </w:rPr>
        <w:t xml:space="preserve"> </w:t>
      </w:r>
    </w:p>
    <w:p w14:paraId="0805E052" w14:textId="77777777" w:rsidR="00C1273C" w:rsidRDefault="00000000">
      <w:r>
        <w:rPr>
          <w:b/>
        </w:rPr>
        <w:t xml:space="preserve">Constat : </w:t>
      </w:r>
      <w:r>
        <w:t>La LOLF ne permet pas de valoriser les économies générées dans d'autres missions budgétaires. Les gains de la résilience alimentaire restent invisibles dans les arbitrages.</w:t>
      </w:r>
      <w:r>
        <w:rPr>
          <w:color w:val="000000"/>
        </w:rPr>
        <w:t xml:space="preserve"> </w:t>
      </w:r>
    </w:p>
    <w:p w14:paraId="647B64D5" w14:textId="77777777" w:rsidR="00C1273C" w:rsidRDefault="00000000">
      <w:pPr>
        <w:spacing w:after="0" w:line="259" w:lineRule="auto"/>
        <w:ind w:left="0" w:firstLine="0"/>
      </w:pPr>
      <w:r>
        <w:rPr>
          <w:color w:val="000000"/>
        </w:rPr>
        <w:t xml:space="preserve"> </w:t>
      </w:r>
    </w:p>
    <w:p w14:paraId="6CD81E50" w14:textId="77777777" w:rsidR="00C1273C" w:rsidRDefault="00000000">
      <w:pPr>
        <w:numPr>
          <w:ilvl w:val="1"/>
          <w:numId w:val="2"/>
        </w:numPr>
        <w:spacing w:after="74"/>
        <w:ind w:hanging="360"/>
      </w:pPr>
      <w:r>
        <w:t xml:space="preserve">Indicateurs </w:t>
      </w:r>
      <w:proofErr w:type="spellStart"/>
      <w:r>
        <w:t>inter-ministériels</w:t>
      </w:r>
      <w:proofErr w:type="spellEnd"/>
      <w:r>
        <w:t xml:space="preserve"> obligatoires de performance territoriale dans les lois de finances</w:t>
      </w:r>
      <w:r>
        <w:rPr>
          <w:color w:val="000000"/>
        </w:rPr>
        <w:t xml:space="preserve"> </w:t>
      </w:r>
    </w:p>
    <w:p w14:paraId="3A0FC239" w14:textId="77777777" w:rsidR="00C1273C" w:rsidRDefault="00000000">
      <w:pPr>
        <w:numPr>
          <w:ilvl w:val="1"/>
          <w:numId w:val="2"/>
        </w:numPr>
        <w:spacing w:after="57"/>
        <w:ind w:hanging="360"/>
      </w:pPr>
      <w:r>
        <w:t>Extension des documents de politique transversale aux enjeux alimentaires</w:t>
      </w:r>
      <w:r>
        <w:rPr>
          <w:color w:val="000000"/>
        </w:rPr>
        <w:t xml:space="preserve"> </w:t>
      </w:r>
    </w:p>
    <w:p w14:paraId="099AD290" w14:textId="77777777" w:rsidR="00C1273C" w:rsidRDefault="00000000">
      <w:pPr>
        <w:numPr>
          <w:ilvl w:val="1"/>
          <w:numId w:val="2"/>
        </w:numPr>
        <w:spacing w:after="75"/>
        <w:ind w:hanging="360"/>
      </w:pPr>
      <w:r>
        <w:t>Expérimentation de budgets multi-ministériels (santé × agriculture × écologie) sur 5 territoires pilotes</w:t>
      </w:r>
      <w:r>
        <w:rPr>
          <w:color w:val="000000"/>
        </w:rPr>
        <w:t xml:space="preserve"> </w:t>
      </w:r>
    </w:p>
    <w:p w14:paraId="138C873A" w14:textId="77777777" w:rsidR="00C1273C" w:rsidRDefault="00000000">
      <w:pPr>
        <w:numPr>
          <w:ilvl w:val="1"/>
          <w:numId w:val="2"/>
        </w:numPr>
        <w:spacing w:after="57"/>
        <w:ind w:hanging="360"/>
      </w:pPr>
      <w:r>
        <w:lastRenderedPageBreak/>
        <w:t>Compte satellite des externalités positives, auditable par la Cour des comptes</w:t>
      </w:r>
      <w:r>
        <w:rPr>
          <w:color w:val="000000"/>
        </w:rPr>
        <w:t xml:space="preserve"> </w:t>
      </w:r>
    </w:p>
    <w:p w14:paraId="112C764B" w14:textId="77777777" w:rsidR="00C1273C" w:rsidRDefault="00000000">
      <w:pPr>
        <w:spacing w:after="4" w:line="259" w:lineRule="auto"/>
        <w:ind w:left="0" w:firstLine="0"/>
      </w:pPr>
      <w:r>
        <w:rPr>
          <w:color w:val="000000"/>
        </w:rPr>
        <w:t xml:space="preserve"> </w:t>
      </w:r>
    </w:p>
    <w:p w14:paraId="71C2D3E4" w14:textId="77777777" w:rsidR="00C1273C" w:rsidRDefault="00000000">
      <w:pPr>
        <w:spacing w:after="120"/>
        <w:ind w:left="-5"/>
      </w:pPr>
      <w:r>
        <w:rPr>
          <w:rFonts w:ascii="Segoe UI Emoji" w:eastAsia="Segoe UI Emoji" w:hAnsi="Segoe UI Emoji" w:cs="Segoe UI Emoji"/>
          <w:color w:val="2E5D2E"/>
        </w:rPr>
        <w:t>👉</w:t>
      </w:r>
      <w:r>
        <w:rPr>
          <w:b/>
          <w:color w:val="2E5D2E"/>
        </w:rPr>
        <w:t xml:space="preserve"> Objectif : </w:t>
      </w:r>
      <w:r>
        <w:rPr>
          <w:i/>
        </w:rPr>
        <w:t>Fonder la décision publique sur la preuve des effets systémiques — et non sur la seule consommation de crédits</w:t>
      </w:r>
      <w:r>
        <w:rPr>
          <w:color w:val="000000"/>
        </w:rPr>
        <w:t xml:space="preserve"> </w:t>
      </w:r>
    </w:p>
    <w:p w14:paraId="5A47B7F4" w14:textId="77777777" w:rsidR="00C1273C" w:rsidRDefault="00000000">
      <w:pPr>
        <w:spacing w:after="158" w:line="259" w:lineRule="auto"/>
        <w:ind w:left="0" w:firstLine="0"/>
      </w:pPr>
      <w:r>
        <w:rPr>
          <w:color w:val="000000"/>
        </w:rPr>
        <w:t xml:space="preserve"> </w:t>
      </w:r>
    </w:p>
    <w:p w14:paraId="0C68FBA9" w14:textId="77777777" w:rsidR="00C1273C" w:rsidRDefault="00000000">
      <w:pPr>
        <w:numPr>
          <w:ilvl w:val="0"/>
          <w:numId w:val="2"/>
        </w:numPr>
        <w:spacing w:after="46" w:line="259" w:lineRule="auto"/>
        <w:ind w:hanging="220"/>
      </w:pPr>
      <w:r>
        <w:rPr>
          <w:b/>
          <w:color w:val="1B3A6B"/>
        </w:rPr>
        <w:t>Lancer un programme national « Communes résilientes »</w:t>
      </w:r>
      <w:r>
        <w:rPr>
          <w:b/>
          <w:color w:val="000000"/>
        </w:rPr>
        <w:t xml:space="preserve"> </w:t>
      </w:r>
    </w:p>
    <w:p w14:paraId="328B4B13" w14:textId="77777777" w:rsidR="00C1273C" w:rsidRDefault="00000000">
      <w:r>
        <w:rPr>
          <w:b/>
        </w:rPr>
        <w:t xml:space="preserve">Constat : </w:t>
      </w:r>
      <w:r>
        <w:t xml:space="preserve">Les 35 000 communes n'ont pas accès à l'ingénierie nécessaire pour activer les dispositifs existants (PAT, CRTE, </w:t>
      </w:r>
      <w:proofErr w:type="spellStart"/>
      <w:r>
        <w:t>EGAlim</w:t>
      </w:r>
      <w:proofErr w:type="spellEnd"/>
      <w:r>
        <w:t>).</w:t>
      </w:r>
      <w:r>
        <w:rPr>
          <w:color w:val="000000"/>
        </w:rPr>
        <w:t xml:space="preserve"> </w:t>
      </w:r>
    </w:p>
    <w:p w14:paraId="24CBF916" w14:textId="77777777" w:rsidR="00C1273C" w:rsidRDefault="00000000">
      <w:pPr>
        <w:spacing w:after="0" w:line="259" w:lineRule="auto"/>
        <w:ind w:left="0" w:firstLine="0"/>
      </w:pPr>
      <w:r>
        <w:rPr>
          <w:color w:val="000000"/>
        </w:rPr>
        <w:t xml:space="preserve"> </w:t>
      </w:r>
    </w:p>
    <w:p w14:paraId="401F8B06" w14:textId="77777777" w:rsidR="00C1273C" w:rsidRDefault="00000000">
      <w:pPr>
        <w:numPr>
          <w:ilvl w:val="1"/>
          <w:numId w:val="2"/>
        </w:numPr>
        <w:spacing w:after="62" w:line="259" w:lineRule="auto"/>
        <w:ind w:hanging="360"/>
      </w:pPr>
      <w:r>
        <w:t>Appel à projets national sur le modèle « Action Cœur de Ville »</w:t>
      </w:r>
      <w:r>
        <w:rPr>
          <w:color w:val="000000"/>
        </w:rPr>
        <w:t xml:space="preserve"> </w:t>
      </w:r>
    </w:p>
    <w:p w14:paraId="15252A57" w14:textId="77777777" w:rsidR="00C1273C" w:rsidRDefault="00000000">
      <w:pPr>
        <w:numPr>
          <w:ilvl w:val="1"/>
          <w:numId w:val="2"/>
        </w:numPr>
        <w:spacing w:after="71"/>
        <w:ind w:hanging="360"/>
      </w:pPr>
      <w:r>
        <w:t>Financement d'ingénierie locale légère (diagnostic, animation, formation des élus)</w:t>
      </w:r>
      <w:r>
        <w:rPr>
          <w:color w:val="000000"/>
        </w:rPr>
        <w:t xml:space="preserve"> </w:t>
      </w:r>
    </w:p>
    <w:p w14:paraId="4DD6182F" w14:textId="77777777" w:rsidR="00C1273C" w:rsidRDefault="00000000">
      <w:pPr>
        <w:numPr>
          <w:ilvl w:val="1"/>
          <w:numId w:val="2"/>
        </w:numPr>
        <w:spacing w:after="71"/>
        <w:ind w:hanging="360"/>
      </w:pPr>
      <w:r>
        <w:t>Labellisation progressive — valorisant les progrès, pas seulement les niveaux atteints</w:t>
      </w:r>
      <w:r>
        <w:rPr>
          <w:color w:val="000000"/>
        </w:rPr>
        <w:t xml:space="preserve"> </w:t>
      </w:r>
    </w:p>
    <w:p w14:paraId="296A8EFA" w14:textId="77777777" w:rsidR="00C1273C" w:rsidRDefault="00000000">
      <w:pPr>
        <w:numPr>
          <w:ilvl w:val="1"/>
          <w:numId w:val="2"/>
        </w:numPr>
        <w:spacing w:after="57"/>
        <w:ind w:hanging="360"/>
      </w:pPr>
      <w:r>
        <w:t>Tableau de bord communal de résilience alimentaire accessible en ligne</w:t>
      </w:r>
      <w:r>
        <w:rPr>
          <w:color w:val="000000"/>
        </w:rPr>
        <w:t xml:space="preserve"> </w:t>
      </w:r>
    </w:p>
    <w:p w14:paraId="77FBE6BB" w14:textId="77777777" w:rsidR="00C1273C" w:rsidRDefault="00000000">
      <w:pPr>
        <w:spacing w:after="7" w:line="259" w:lineRule="auto"/>
        <w:ind w:left="0" w:firstLine="0"/>
      </w:pPr>
      <w:r>
        <w:rPr>
          <w:color w:val="000000"/>
        </w:rPr>
        <w:t xml:space="preserve"> </w:t>
      </w:r>
    </w:p>
    <w:p w14:paraId="15CF92F1" w14:textId="77777777" w:rsidR="00C1273C" w:rsidRDefault="00000000">
      <w:pPr>
        <w:spacing w:after="89"/>
        <w:ind w:left="-5"/>
      </w:pPr>
      <w:r>
        <w:rPr>
          <w:rFonts w:ascii="Segoe UI Emoji" w:eastAsia="Segoe UI Emoji" w:hAnsi="Segoe UI Emoji" w:cs="Segoe UI Emoji"/>
          <w:color w:val="2E5D2E"/>
        </w:rPr>
        <w:t>👉</w:t>
      </w:r>
      <w:r>
        <w:rPr>
          <w:b/>
          <w:color w:val="2E5D2E"/>
        </w:rPr>
        <w:t xml:space="preserve"> Objectif : </w:t>
      </w:r>
      <w:r>
        <w:rPr>
          <w:i/>
        </w:rPr>
        <w:t xml:space="preserve">Massifier la subsidiarité alimentaire en dotant chaque commune des moyens de son autonomie </w:t>
      </w:r>
    </w:p>
    <w:p w14:paraId="5744D688" w14:textId="77777777" w:rsidR="00C1273C" w:rsidRDefault="00000000">
      <w:pPr>
        <w:spacing w:after="158" w:line="259" w:lineRule="auto"/>
        <w:ind w:left="0" w:firstLine="0"/>
      </w:pPr>
      <w:r>
        <w:rPr>
          <w:color w:val="000000"/>
        </w:rPr>
        <w:t xml:space="preserve"> </w:t>
      </w:r>
    </w:p>
    <w:p w14:paraId="06E6F4FA" w14:textId="77777777" w:rsidR="00C1273C" w:rsidRDefault="00000000">
      <w:pPr>
        <w:numPr>
          <w:ilvl w:val="0"/>
          <w:numId w:val="2"/>
        </w:numPr>
        <w:spacing w:after="46" w:line="259" w:lineRule="auto"/>
        <w:ind w:hanging="220"/>
      </w:pPr>
      <w:r>
        <w:rPr>
          <w:b/>
          <w:color w:val="1B3A6B"/>
        </w:rPr>
        <w:t>Instituer des contrats de résilience territoriale</w:t>
      </w:r>
      <w:r>
        <w:rPr>
          <w:b/>
          <w:color w:val="000000"/>
        </w:rPr>
        <w:t xml:space="preserve"> </w:t>
      </w:r>
    </w:p>
    <w:p w14:paraId="6550DEEE" w14:textId="77777777" w:rsidR="00C1273C" w:rsidRDefault="00000000">
      <w:r>
        <w:rPr>
          <w:b/>
        </w:rPr>
        <w:t xml:space="preserve">Constat : </w:t>
      </w:r>
      <w:r>
        <w:t>849 CRTE couvrent l'intégralité du territoire. Leur volet alimentation durable est prévu mais sous-exploité.</w:t>
      </w:r>
      <w:r>
        <w:rPr>
          <w:color w:val="000000"/>
        </w:rPr>
        <w:t xml:space="preserve"> </w:t>
      </w:r>
    </w:p>
    <w:p w14:paraId="6A852E92" w14:textId="77777777" w:rsidR="00C1273C" w:rsidRDefault="00000000">
      <w:pPr>
        <w:spacing w:after="0" w:line="259" w:lineRule="auto"/>
        <w:ind w:left="0" w:firstLine="0"/>
      </w:pPr>
      <w:r>
        <w:rPr>
          <w:color w:val="000000"/>
        </w:rPr>
        <w:t xml:space="preserve"> </w:t>
      </w:r>
    </w:p>
    <w:p w14:paraId="12587647" w14:textId="77777777" w:rsidR="00C1273C" w:rsidRDefault="00000000">
      <w:pPr>
        <w:numPr>
          <w:ilvl w:val="1"/>
          <w:numId w:val="2"/>
        </w:numPr>
        <w:spacing w:after="75"/>
        <w:ind w:hanging="360"/>
      </w:pPr>
      <w:r>
        <w:t>Intégration systématique d'objectifs de résilience alimentaire dans chaque CRTE lors des révisions 2025-2026</w:t>
      </w:r>
      <w:r>
        <w:rPr>
          <w:color w:val="000000"/>
        </w:rPr>
        <w:t xml:space="preserve"> </w:t>
      </w:r>
    </w:p>
    <w:p w14:paraId="66BE3019" w14:textId="77777777" w:rsidR="00C1273C" w:rsidRDefault="00000000">
      <w:pPr>
        <w:numPr>
          <w:ilvl w:val="1"/>
          <w:numId w:val="2"/>
        </w:numPr>
        <w:spacing w:after="72"/>
        <w:ind w:hanging="360"/>
      </w:pPr>
      <w:r>
        <w:t>Financement conditionné aux résultats, non aux dépenses</w:t>
      </w:r>
      <w:r>
        <w:rPr>
          <w:color w:val="000000"/>
        </w:rPr>
        <w:t xml:space="preserve"> </w:t>
      </w:r>
    </w:p>
    <w:p w14:paraId="294812AA" w14:textId="77777777" w:rsidR="00C1273C" w:rsidRDefault="00000000">
      <w:pPr>
        <w:numPr>
          <w:ilvl w:val="1"/>
          <w:numId w:val="2"/>
        </w:numPr>
        <w:spacing w:after="57"/>
        <w:ind w:hanging="360"/>
      </w:pPr>
      <w:r>
        <w:t>Évaluation embarquée en condition réelle, co-produite avec les acteurs locaux</w:t>
      </w:r>
      <w:r>
        <w:rPr>
          <w:color w:val="000000"/>
        </w:rPr>
        <w:t xml:space="preserve"> </w:t>
      </w:r>
    </w:p>
    <w:p w14:paraId="4D00C698" w14:textId="77777777" w:rsidR="00C1273C" w:rsidRDefault="00000000">
      <w:pPr>
        <w:spacing w:after="7" w:line="259" w:lineRule="auto"/>
        <w:ind w:left="0" w:firstLine="0"/>
      </w:pPr>
      <w:r>
        <w:rPr>
          <w:color w:val="000000"/>
        </w:rPr>
        <w:t xml:space="preserve"> </w:t>
      </w:r>
    </w:p>
    <w:p w14:paraId="31CF8FF5" w14:textId="77777777" w:rsidR="00C1273C" w:rsidRDefault="00000000">
      <w:pPr>
        <w:spacing w:after="89"/>
        <w:ind w:left="-5"/>
      </w:pPr>
      <w:r>
        <w:rPr>
          <w:rFonts w:ascii="Segoe UI Emoji" w:eastAsia="Segoe UI Emoji" w:hAnsi="Segoe UI Emoji" w:cs="Segoe UI Emoji"/>
          <w:color w:val="2E5D2E"/>
        </w:rPr>
        <w:t>👉</w:t>
      </w:r>
      <w:r>
        <w:rPr>
          <w:b/>
          <w:color w:val="2E5D2E"/>
        </w:rPr>
        <w:t xml:space="preserve"> Objectif : </w:t>
      </w:r>
      <w:r>
        <w:rPr>
          <w:i/>
        </w:rPr>
        <w:t>Aligner les incitations publiques sur la production d'externalités positives mesurables</w:t>
      </w:r>
      <w:r>
        <w:rPr>
          <w:color w:val="000000"/>
        </w:rPr>
        <w:t xml:space="preserve"> </w:t>
      </w:r>
    </w:p>
    <w:p w14:paraId="02D28293" w14:textId="77777777" w:rsidR="00C1273C" w:rsidRDefault="00000000">
      <w:pPr>
        <w:spacing w:after="158" w:line="259" w:lineRule="auto"/>
        <w:ind w:left="0" w:firstLine="0"/>
      </w:pPr>
      <w:r>
        <w:rPr>
          <w:color w:val="000000"/>
        </w:rPr>
        <w:t xml:space="preserve"> </w:t>
      </w:r>
    </w:p>
    <w:p w14:paraId="60E7E956" w14:textId="77777777" w:rsidR="00C1273C" w:rsidRDefault="00000000">
      <w:pPr>
        <w:numPr>
          <w:ilvl w:val="0"/>
          <w:numId w:val="2"/>
        </w:numPr>
        <w:spacing w:after="46" w:line="259" w:lineRule="auto"/>
        <w:ind w:hanging="220"/>
      </w:pPr>
      <w:r>
        <w:rPr>
          <w:b/>
          <w:color w:val="1B3A6B"/>
        </w:rPr>
        <w:t>Réformer la commande publique alimentaire</w:t>
      </w:r>
      <w:r>
        <w:rPr>
          <w:b/>
          <w:color w:val="000000"/>
        </w:rPr>
        <w:t xml:space="preserve"> </w:t>
      </w:r>
    </w:p>
    <w:p w14:paraId="3BEF8154" w14:textId="77777777" w:rsidR="00C1273C" w:rsidRDefault="00000000">
      <w:r>
        <w:rPr>
          <w:b/>
        </w:rPr>
        <w:t xml:space="preserve">Constat : </w:t>
      </w:r>
      <w:r>
        <w:t xml:space="preserve">Les règles actuelles limitent l'approvisionnement local dans la restauration collective, malgré les obligations </w:t>
      </w:r>
      <w:proofErr w:type="spellStart"/>
      <w:r>
        <w:t>EGAlim</w:t>
      </w:r>
      <w:proofErr w:type="spellEnd"/>
      <w:r>
        <w:t>.</w:t>
      </w:r>
      <w:r>
        <w:rPr>
          <w:color w:val="000000"/>
        </w:rPr>
        <w:t xml:space="preserve"> </w:t>
      </w:r>
    </w:p>
    <w:p w14:paraId="6E41525F" w14:textId="77777777" w:rsidR="00C1273C" w:rsidRDefault="00000000">
      <w:pPr>
        <w:spacing w:after="0" w:line="259" w:lineRule="auto"/>
        <w:ind w:left="0" w:firstLine="0"/>
      </w:pPr>
      <w:r>
        <w:rPr>
          <w:color w:val="000000"/>
        </w:rPr>
        <w:t xml:space="preserve"> </w:t>
      </w:r>
    </w:p>
    <w:p w14:paraId="5B020510" w14:textId="77777777" w:rsidR="00C1273C" w:rsidRDefault="00000000">
      <w:pPr>
        <w:numPr>
          <w:ilvl w:val="1"/>
          <w:numId w:val="2"/>
        </w:numPr>
        <w:spacing w:after="72"/>
        <w:ind w:hanging="360"/>
      </w:pPr>
      <w:r>
        <w:t>Critère obligatoire de résilience territoriale dans les marchés publics alimentaires</w:t>
      </w:r>
      <w:r>
        <w:rPr>
          <w:color w:val="000000"/>
        </w:rPr>
        <w:t xml:space="preserve"> </w:t>
      </w:r>
    </w:p>
    <w:p w14:paraId="77892F12" w14:textId="77777777" w:rsidR="00C1273C" w:rsidRDefault="00000000">
      <w:pPr>
        <w:numPr>
          <w:ilvl w:val="1"/>
          <w:numId w:val="2"/>
        </w:numPr>
        <w:spacing w:after="72"/>
        <w:ind w:hanging="360"/>
      </w:pPr>
      <w:r>
        <w:t>Relèvement des seuils d'achat direct auprès de producteurs locaux</w:t>
      </w:r>
      <w:r>
        <w:rPr>
          <w:color w:val="000000"/>
        </w:rPr>
        <w:t xml:space="preserve"> </w:t>
      </w:r>
    </w:p>
    <w:p w14:paraId="64DFB3D5" w14:textId="77777777" w:rsidR="00C1273C" w:rsidRDefault="00000000">
      <w:pPr>
        <w:numPr>
          <w:ilvl w:val="1"/>
          <w:numId w:val="2"/>
        </w:numPr>
        <w:spacing w:after="57"/>
        <w:ind w:hanging="360"/>
      </w:pPr>
      <w:r>
        <w:t>Allotissement facilitant l'accès des petits producteurs sans déroger au droit européen</w:t>
      </w:r>
      <w:r>
        <w:rPr>
          <w:color w:val="000000"/>
        </w:rPr>
        <w:t xml:space="preserve"> </w:t>
      </w:r>
    </w:p>
    <w:p w14:paraId="7502DA9A" w14:textId="77777777" w:rsidR="00C1273C" w:rsidRDefault="00000000">
      <w:pPr>
        <w:spacing w:after="7" w:line="259" w:lineRule="auto"/>
        <w:ind w:left="0" w:firstLine="0"/>
      </w:pPr>
      <w:r>
        <w:rPr>
          <w:color w:val="000000"/>
        </w:rPr>
        <w:t xml:space="preserve"> </w:t>
      </w:r>
    </w:p>
    <w:p w14:paraId="09893930" w14:textId="77777777" w:rsidR="00C1273C" w:rsidRDefault="00000000">
      <w:pPr>
        <w:spacing w:after="89"/>
        <w:ind w:left="-5"/>
      </w:pPr>
      <w:r>
        <w:rPr>
          <w:rFonts w:ascii="Segoe UI Emoji" w:eastAsia="Segoe UI Emoji" w:hAnsi="Segoe UI Emoji" w:cs="Segoe UI Emoji"/>
          <w:color w:val="2E5D2E"/>
        </w:rPr>
        <w:t>👉</w:t>
      </w:r>
      <w:r>
        <w:rPr>
          <w:b/>
          <w:color w:val="2E5D2E"/>
        </w:rPr>
        <w:t xml:space="preserve"> Objectif : </w:t>
      </w:r>
      <w:r>
        <w:rPr>
          <w:i/>
        </w:rPr>
        <w:t>Faire de la commande publique le premier levier de structuration des filières courtes</w:t>
      </w:r>
      <w:r>
        <w:rPr>
          <w:color w:val="000000"/>
        </w:rPr>
        <w:t xml:space="preserve"> </w:t>
      </w:r>
    </w:p>
    <w:p w14:paraId="7063A7FF" w14:textId="77777777" w:rsidR="00C1273C" w:rsidRDefault="00000000">
      <w:pPr>
        <w:spacing w:after="158" w:line="259" w:lineRule="auto"/>
        <w:ind w:left="0" w:firstLine="0"/>
      </w:pPr>
      <w:r>
        <w:rPr>
          <w:color w:val="000000"/>
        </w:rPr>
        <w:t xml:space="preserve"> </w:t>
      </w:r>
    </w:p>
    <w:p w14:paraId="3A30DF5E" w14:textId="77777777" w:rsidR="00C1273C" w:rsidRDefault="00000000">
      <w:pPr>
        <w:numPr>
          <w:ilvl w:val="0"/>
          <w:numId w:val="2"/>
        </w:numPr>
        <w:spacing w:after="46" w:line="259" w:lineRule="auto"/>
        <w:ind w:hanging="220"/>
      </w:pPr>
      <w:r>
        <w:rPr>
          <w:b/>
          <w:color w:val="1B3A6B"/>
        </w:rPr>
        <w:t>Adapter les normes sanitaires aux productions locales</w:t>
      </w:r>
      <w:r>
        <w:rPr>
          <w:b/>
          <w:color w:val="000000"/>
        </w:rPr>
        <w:t xml:space="preserve"> </w:t>
      </w:r>
    </w:p>
    <w:p w14:paraId="7FF5EB31" w14:textId="77777777" w:rsidR="00C1273C" w:rsidRDefault="00000000">
      <w:r>
        <w:rPr>
          <w:b/>
        </w:rPr>
        <w:lastRenderedPageBreak/>
        <w:t xml:space="preserve">Constat : </w:t>
      </w:r>
      <w:r>
        <w:t>Les normes sont calibrées pour l'agro-industrie et pénalisent structurellement les petites productions de proximité.</w:t>
      </w:r>
      <w:r>
        <w:rPr>
          <w:color w:val="000000"/>
        </w:rPr>
        <w:t xml:space="preserve"> </w:t>
      </w:r>
    </w:p>
    <w:p w14:paraId="184CB309" w14:textId="77777777" w:rsidR="00C1273C" w:rsidRDefault="00000000">
      <w:pPr>
        <w:spacing w:after="0" w:line="259" w:lineRule="auto"/>
        <w:ind w:left="0" w:firstLine="0"/>
      </w:pPr>
      <w:r>
        <w:rPr>
          <w:color w:val="000000"/>
        </w:rPr>
        <w:t xml:space="preserve"> </w:t>
      </w:r>
    </w:p>
    <w:p w14:paraId="517D1A0A" w14:textId="77777777" w:rsidR="00C1273C" w:rsidRDefault="00000000">
      <w:pPr>
        <w:numPr>
          <w:ilvl w:val="1"/>
          <w:numId w:val="2"/>
        </w:numPr>
        <w:spacing w:after="72"/>
        <w:ind w:hanging="360"/>
      </w:pPr>
      <w:r>
        <w:t>Régime réglementaire simplifié pour les productions locales à faible volume</w:t>
      </w:r>
      <w:r>
        <w:rPr>
          <w:color w:val="000000"/>
        </w:rPr>
        <w:t xml:space="preserve"> </w:t>
      </w:r>
    </w:p>
    <w:p w14:paraId="475CCD32" w14:textId="77777777" w:rsidR="00C1273C" w:rsidRDefault="00000000">
      <w:pPr>
        <w:numPr>
          <w:ilvl w:val="1"/>
          <w:numId w:val="2"/>
        </w:numPr>
        <w:spacing w:after="72"/>
        <w:ind w:hanging="360"/>
      </w:pPr>
      <w:r>
        <w:t>Principe de proportionnalité sanitaire pour les circuits courts</w:t>
      </w:r>
      <w:r>
        <w:rPr>
          <w:color w:val="000000"/>
        </w:rPr>
        <w:t xml:space="preserve"> </w:t>
      </w:r>
    </w:p>
    <w:p w14:paraId="4E38CFA7" w14:textId="77777777" w:rsidR="00C1273C" w:rsidRDefault="00000000">
      <w:pPr>
        <w:numPr>
          <w:ilvl w:val="1"/>
          <w:numId w:val="2"/>
        </w:numPr>
        <w:spacing w:after="57"/>
        <w:ind w:hanging="360"/>
      </w:pPr>
      <w:r>
        <w:t>Reconnaissance juridique des micro-unités alimentaires territoriales</w:t>
      </w:r>
      <w:r>
        <w:rPr>
          <w:color w:val="000000"/>
        </w:rPr>
        <w:t xml:space="preserve"> </w:t>
      </w:r>
    </w:p>
    <w:p w14:paraId="7483275C" w14:textId="77777777" w:rsidR="00C1273C" w:rsidRDefault="00000000">
      <w:pPr>
        <w:spacing w:after="7" w:line="259" w:lineRule="auto"/>
        <w:ind w:left="0" w:firstLine="0"/>
      </w:pPr>
      <w:r>
        <w:rPr>
          <w:color w:val="000000"/>
        </w:rPr>
        <w:t xml:space="preserve"> </w:t>
      </w:r>
    </w:p>
    <w:p w14:paraId="6689F1A0" w14:textId="77777777" w:rsidR="00C1273C" w:rsidRDefault="00000000">
      <w:pPr>
        <w:spacing w:after="120"/>
        <w:ind w:left="-5"/>
      </w:pPr>
      <w:r>
        <w:rPr>
          <w:rFonts w:ascii="Segoe UI Emoji" w:eastAsia="Segoe UI Emoji" w:hAnsi="Segoe UI Emoji" w:cs="Segoe UI Emoji"/>
          <w:color w:val="2E5D2E"/>
        </w:rPr>
        <w:t>👉</w:t>
      </w:r>
      <w:r>
        <w:rPr>
          <w:b/>
          <w:color w:val="2E5D2E"/>
        </w:rPr>
        <w:t xml:space="preserve"> Objectif : </w:t>
      </w:r>
      <w:r>
        <w:rPr>
          <w:i/>
        </w:rPr>
        <w:t>Permettre l'émergence d'une production locale viable sans compromettre la sécurité sanitaire</w:t>
      </w:r>
      <w:r>
        <w:rPr>
          <w:color w:val="000000"/>
        </w:rPr>
        <w:t xml:space="preserve"> </w:t>
      </w:r>
    </w:p>
    <w:p w14:paraId="5507750B" w14:textId="77777777" w:rsidR="00C1273C" w:rsidRDefault="00000000">
      <w:pPr>
        <w:spacing w:after="238" w:line="259" w:lineRule="auto"/>
        <w:ind w:left="0" w:firstLine="0"/>
      </w:pPr>
      <w:r>
        <w:rPr>
          <w:color w:val="000000"/>
        </w:rPr>
        <w:t xml:space="preserve"> </w:t>
      </w:r>
    </w:p>
    <w:p w14:paraId="1A2212BF" w14:textId="77777777" w:rsidR="00C1273C" w:rsidRDefault="00000000">
      <w:pPr>
        <w:pStyle w:val="Titre2"/>
        <w:spacing w:after="56"/>
        <w:ind w:left="-5"/>
      </w:pPr>
      <w:r>
        <w:t>Axe 2 — Accompagner la transformation des acteurs territoriaux</w:t>
      </w:r>
      <w:r>
        <w:rPr>
          <w:color w:val="000000"/>
        </w:rPr>
        <w:t xml:space="preserve"> </w:t>
      </w:r>
    </w:p>
    <w:p w14:paraId="2835E482" w14:textId="77777777" w:rsidR="00C1273C" w:rsidRDefault="00000000">
      <w:pPr>
        <w:spacing w:after="158" w:line="259" w:lineRule="auto"/>
        <w:ind w:left="0" w:firstLine="0"/>
      </w:pPr>
      <w:r>
        <w:rPr>
          <w:color w:val="000000"/>
        </w:rPr>
        <w:t xml:space="preserve"> </w:t>
      </w:r>
    </w:p>
    <w:p w14:paraId="368C0EC4" w14:textId="77777777" w:rsidR="00C1273C" w:rsidRDefault="00000000">
      <w:pPr>
        <w:numPr>
          <w:ilvl w:val="0"/>
          <w:numId w:val="3"/>
        </w:numPr>
        <w:spacing w:after="46" w:line="259" w:lineRule="auto"/>
        <w:ind w:hanging="222"/>
      </w:pPr>
      <w:r>
        <w:rPr>
          <w:b/>
          <w:color w:val="1B3A6B"/>
        </w:rPr>
        <w:t>Intégrer la résilience alimentaire dans les politiques de santé publique</w:t>
      </w:r>
      <w:r>
        <w:rPr>
          <w:b/>
          <w:color w:val="000000"/>
        </w:rPr>
        <w:t xml:space="preserve"> </w:t>
      </w:r>
    </w:p>
    <w:p w14:paraId="361F503E" w14:textId="77777777" w:rsidR="00C1273C" w:rsidRDefault="00000000">
      <w:r>
        <w:rPr>
          <w:b/>
        </w:rPr>
        <w:t xml:space="preserve">Constat : </w:t>
      </w:r>
      <w:r>
        <w:t>Le lien entre alimentation locale et réduction des pathologies chroniques est documenté mais non traduit en financement croisé.</w:t>
      </w:r>
      <w:r>
        <w:rPr>
          <w:color w:val="000000"/>
        </w:rPr>
        <w:t xml:space="preserve"> </w:t>
      </w:r>
    </w:p>
    <w:p w14:paraId="6A562899" w14:textId="77777777" w:rsidR="00C1273C" w:rsidRDefault="00000000">
      <w:pPr>
        <w:spacing w:after="0" w:line="259" w:lineRule="auto"/>
        <w:ind w:left="0" w:firstLine="0"/>
      </w:pPr>
      <w:r>
        <w:rPr>
          <w:color w:val="000000"/>
        </w:rPr>
        <w:t xml:space="preserve"> </w:t>
      </w:r>
    </w:p>
    <w:p w14:paraId="066059C4" w14:textId="77777777" w:rsidR="00C1273C" w:rsidRDefault="00000000">
      <w:pPr>
        <w:numPr>
          <w:ilvl w:val="1"/>
          <w:numId w:val="3"/>
        </w:numPr>
        <w:ind w:hanging="360"/>
      </w:pPr>
      <w:r>
        <w:t>Résilience alimentaire territoriale inscrite comme déterminant de santé publique dans le Code de santé</w:t>
      </w:r>
      <w:r>
        <w:rPr>
          <w:color w:val="000000"/>
        </w:rPr>
        <w:t xml:space="preserve"> </w:t>
      </w:r>
    </w:p>
    <w:p w14:paraId="3960620F" w14:textId="77777777" w:rsidR="00C1273C" w:rsidRDefault="00000000">
      <w:pPr>
        <w:numPr>
          <w:ilvl w:val="1"/>
          <w:numId w:val="3"/>
        </w:numPr>
        <w:spacing w:after="71"/>
        <w:ind w:hanging="360"/>
      </w:pPr>
      <w:r>
        <w:t>Obligation pour les ARS d'intégrer les enjeux alimentaires dans leurs plans régionaux</w:t>
      </w:r>
      <w:r>
        <w:rPr>
          <w:color w:val="000000"/>
        </w:rPr>
        <w:t xml:space="preserve"> </w:t>
      </w:r>
    </w:p>
    <w:p w14:paraId="419EB995" w14:textId="77777777" w:rsidR="00C1273C" w:rsidRDefault="00000000">
      <w:pPr>
        <w:numPr>
          <w:ilvl w:val="1"/>
          <w:numId w:val="3"/>
        </w:numPr>
        <w:spacing w:after="57"/>
        <w:ind w:hanging="360"/>
      </w:pPr>
      <w:r>
        <w:t>Financements croisés santé / alimentation / environnement sur territoires pilotes</w:t>
      </w:r>
      <w:r>
        <w:rPr>
          <w:color w:val="000000"/>
        </w:rPr>
        <w:t xml:space="preserve"> </w:t>
      </w:r>
    </w:p>
    <w:p w14:paraId="014264B2" w14:textId="77777777" w:rsidR="00C1273C" w:rsidRDefault="00000000">
      <w:pPr>
        <w:spacing w:after="7" w:line="259" w:lineRule="auto"/>
        <w:ind w:left="0" w:firstLine="0"/>
      </w:pPr>
      <w:r>
        <w:rPr>
          <w:color w:val="000000"/>
        </w:rPr>
        <w:t xml:space="preserve"> </w:t>
      </w:r>
    </w:p>
    <w:p w14:paraId="6B1DB2CA" w14:textId="77777777" w:rsidR="00C1273C" w:rsidRDefault="00000000">
      <w:pPr>
        <w:spacing w:after="120"/>
        <w:ind w:left="-5"/>
      </w:pPr>
      <w:r>
        <w:rPr>
          <w:rFonts w:ascii="Segoe UI Emoji" w:eastAsia="Segoe UI Emoji" w:hAnsi="Segoe UI Emoji" w:cs="Segoe UI Emoji"/>
          <w:color w:val="2E5D2E"/>
        </w:rPr>
        <w:t>👉</w:t>
      </w:r>
      <w:r>
        <w:rPr>
          <w:b/>
          <w:color w:val="2E5D2E"/>
        </w:rPr>
        <w:t xml:space="preserve"> Objectif : </w:t>
      </w:r>
      <w:r>
        <w:rPr>
          <w:i/>
        </w:rPr>
        <w:t>Transformer une dépense curative en investissement préventif à retour sur investissement mesurable</w:t>
      </w:r>
      <w:r>
        <w:rPr>
          <w:color w:val="000000"/>
        </w:rPr>
        <w:t xml:space="preserve"> </w:t>
      </w:r>
    </w:p>
    <w:p w14:paraId="6D60DD14" w14:textId="77777777" w:rsidR="00C1273C" w:rsidRDefault="00000000">
      <w:pPr>
        <w:spacing w:after="158" w:line="259" w:lineRule="auto"/>
        <w:ind w:left="0" w:firstLine="0"/>
      </w:pPr>
      <w:r>
        <w:rPr>
          <w:color w:val="000000"/>
        </w:rPr>
        <w:t xml:space="preserve"> </w:t>
      </w:r>
    </w:p>
    <w:p w14:paraId="380E2AA6" w14:textId="77777777" w:rsidR="00C1273C" w:rsidRDefault="00000000">
      <w:pPr>
        <w:numPr>
          <w:ilvl w:val="0"/>
          <w:numId w:val="3"/>
        </w:numPr>
        <w:spacing w:after="46" w:line="259" w:lineRule="auto"/>
        <w:ind w:hanging="222"/>
      </w:pPr>
      <w:r>
        <w:rPr>
          <w:b/>
          <w:color w:val="1B3A6B"/>
        </w:rPr>
        <w:t>Déployer un référentiel national de mesure d'impact</w:t>
      </w:r>
      <w:r>
        <w:rPr>
          <w:b/>
          <w:color w:val="000000"/>
        </w:rPr>
        <w:t xml:space="preserve"> </w:t>
      </w:r>
    </w:p>
    <w:p w14:paraId="1286E8D1" w14:textId="77777777" w:rsidR="00C1273C" w:rsidRDefault="00000000">
      <w:r>
        <w:rPr>
          <w:b/>
        </w:rPr>
        <w:t xml:space="preserve">Constat : </w:t>
      </w:r>
      <w:r>
        <w:t>Chaque territoire réinvente ses propres indicateurs. L'absence de cadre commun empêche tout apprentissage collectif et tout arbitrage politique éclairé.</w:t>
      </w:r>
      <w:r>
        <w:rPr>
          <w:color w:val="000000"/>
        </w:rPr>
        <w:t xml:space="preserve"> </w:t>
      </w:r>
    </w:p>
    <w:p w14:paraId="5C9E4A7A" w14:textId="77777777" w:rsidR="00C1273C" w:rsidRDefault="00000000">
      <w:pPr>
        <w:spacing w:after="0" w:line="259" w:lineRule="auto"/>
        <w:ind w:left="0" w:firstLine="0"/>
      </w:pPr>
      <w:r>
        <w:rPr>
          <w:color w:val="000000"/>
        </w:rPr>
        <w:t xml:space="preserve"> </w:t>
      </w:r>
    </w:p>
    <w:p w14:paraId="3F9C1F22" w14:textId="77777777" w:rsidR="00C1273C" w:rsidRDefault="00000000">
      <w:pPr>
        <w:numPr>
          <w:ilvl w:val="1"/>
          <w:numId w:val="3"/>
        </w:numPr>
        <w:spacing w:after="74"/>
        <w:ind w:hanging="360"/>
      </w:pPr>
      <w:r>
        <w:t>Référentiel national d'indicateurs standardisés mais adaptables localement</w:t>
      </w:r>
      <w:r>
        <w:rPr>
          <w:color w:val="000000"/>
        </w:rPr>
        <w:t xml:space="preserve"> </w:t>
      </w:r>
    </w:p>
    <w:p w14:paraId="63633C02" w14:textId="77777777" w:rsidR="00C1273C" w:rsidRDefault="00000000">
      <w:pPr>
        <w:numPr>
          <w:ilvl w:val="1"/>
          <w:numId w:val="3"/>
        </w:numPr>
        <w:spacing w:after="72"/>
        <w:ind w:hanging="360"/>
      </w:pPr>
      <w:r>
        <w:t>Publication annuelle d'un baromètre de résilience territoriale par commune et intercommunalité</w:t>
      </w:r>
      <w:r>
        <w:rPr>
          <w:color w:val="000000"/>
        </w:rPr>
        <w:t xml:space="preserve"> </w:t>
      </w:r>
    </w:p>
    <w:p w14:paraId="7101FEB4" w14:textId="77777777" w:rsidR="00C1273C" w:rsidRDefault="00000000">
      <w:pPr>
        <w:numPr>
          <w:ilvl w:val="1"/>
          <w:numId w:val="3"/>
        </w:numPr>
        <w:spacing w:after="57"/>
        <w:ind w:hanging="360"/>
      </w:pPr>
      <w:r>
        <w:t>Intégration dans les Politiques Prioritaires du Gouvernement (PPG)</w:t>
      </w:r>
      <w:r>
        <w:rPr>
          <w:color w:val="000000"/>
        </w:rPr>
        <w:t xml:space="preserve"> </w:t>
      </w:r>
    </w:p>
    <w:p w14:paraId="74952165" w14:textId="77777777" w:rsidR="00C1273C" w:rsidRDefault="00000000">
      <w:pPr>
        <w:spacing w:after="7" w:line="259" w:lineRule="auto"/>
        <w:ind w:left="0" w:firstLine="0"/>
      </w:pPr>
      <w:r>
        <w:rPr>
          <w:color w:val="000000"/>
        </w:rPr>
        <w:t xml:space="preserve"> </w:t>
      </w:r>
    </w:p>
    <w:p w14:paraId="182F1003" w14:textId="77777777" w:rsidR="00C1273C" w:rsidRDefault="00000000">
      <w:pPr>
        <w:spacing w:after="89"/>
        <w:ind w:left="-5"/>
      </w:pPr>
      <w:r>
        <w:rPr>
          <w:rFonts w:ascii="Segoe UI Emoji" w:eastAsia="Segoe UI Emoji" w:hAnsi="Segoe UI Emoji" w:cs="Segoe UI Emoji"/>
          <w:color w:val="2E5D2E"/>
        </w:rPr>
        <w:t>👉</w:t>
      </w:r>
      <w:r>
        <w:rPr>
          <w:b/>
          <w:color w:val="2E5D2E"/>
        </w:rPr>
        <w:t xml:space="preserve"> Objectif : </w:t>
      </w:r>
      <w:r>
        <w:rPr>
          <w:i/>
        </w:rPr>
        <w:t>Piloter par la preuve et transformer chaque territoire en laboratoire d'apprentissage partagé</w:t>
      </w:r>
      <w:r>
        <w:rPr>
          <w:color w:val="000000"/>
        </w:rPr>
        <w:t xml:space="preserve"> </w:t>
      </w:r>
    </w:p>
    <w:p w14:paraId="6086015B" w14:textId="77777777" w:rsidR="00C1273C" w:rsidRDefault="00000000">
      <w:pPr>
        <w:spacing w:after="158" w:line="259" w:lineRule="auto"/>
        <w:ind w:left="0" w:firstLine="0"/>
      </w:pPr>
      <w:r>
        <w:rPr>
          <w:color w:val="000000"/>
        </w:rPr>
        <w:t xml:space="preserve"> </w:t>
      </w:r>
    </w:p>
    <w:p w14:paraId="0FEED7BA" w14:textId="77777777" w:rsidR="00C1273C" w:rsidRDefault="00000000">
      <w:pPr>
        <w:numPr>
          <w:ilvl w:val="0"/>
          <w:numId w:val="3"/>
        </w:numPr>
        <w:spacing w:after="46" w:line="259" w:lineRule="auto"/>
        <w:ind w:hanging="222"/>
      </w:pPr>
      <w:r>
        <w:rPr>
          <w:b/>
          <w:color w:val="1B3A6B"/>
        </w:rPr>
        <w:t>Former les élus et agents publics à la logique de subsidiarité</w:t>
      </w:r>
      <w:r>
        <w:rPr>
          <w:b/>
          <w:color w:val="000000"/>
        </w:rPr>
        <w:t xml:space="preserve"> </w:t>
      </w:r>
    </w:p>
    <w:p w14:paraId="58D6C1FA" w14:textId="77777777" w:rsidR="00C1273C" w:rsidRDefault="00000000">
      <w:r>
        <w:rPr>
          <w:b/>
        </w:rPr>
        <w:t xml:space="preserve">Constat : </w:t>
      </w:r>
      <w:r>
        <w:t>La culture administrative est structurée pour dépenser sectoriellement, pas pour générer des économies systémiques.</w:t>
      </w:r>
      <w:r>
        <w:rPr>
          <w:color w:val="000000"/>
        </w:rPr>
        <w:t xml:space="preserve"> </w:t>
      </w:r>
    </w:p>
    <w:p w14:paraId="41DC71A1" w14:textId="77777777" w:rsidR="00C1273C" w:rsidRDefault="00000000">
      <w:pPr>
        <w:spacing w:after="0" w:line="259" w:lineRule="auto"/>
        <w:ind w:left="0" w:firstLine="0"/>
      </w:pPr>
      <w:r>
        <w:rPr>
          <w:color w:val="000000"/>
        </w:rPr>
        <w:t xml:space="preserve"> </w:t>
      </w:r>
    </w:p>
    <w:p w14:paraId="41001736" w14:textId="77777777" w:rsidR="00C1273C" w:rsidRDefault="00000000">
      <w:pPr>
        <w:numPr>
          <w:ilvl w:val="1"/>
          <w:numId w:val="3"/>
        </w:numPr>
        <w:spacing w:after="71"/>
        <w:ind w:hanging="360"/>
      </w:pPr>
      <w:r>
        <w:t>Programmes articulés avec l'</w:t>
      </w:r>
      <w:proofErr w:type="spellStart"/>
      <w:r>
        <w:t>Executive</w:t>
      </w:r>
      <w:proofErr w:type="spellEnd"/>
      <w:r>
        <w:t xml:space="preserve"> Master « Les Transformateurs Publics » (IRP × Audencia)</w:t>
      </w:r>
      <w:r>
        <w:rPr>
          <w:color w:val="000000"/>
        </w:rPr>
        <w:t xml:space="preserve"> </w:t>
      </w:r>
    </w:p>
    <w:p w14:paraId="3B8757C5" w14:textId="77777777" w:rsidR="00C1273C" w:rsidRDefault="00000000">
      <w:pPr>
        <w:numPr>
          <w:ilvl w:val="1"/>
          <w:numId w:val="3"/>
        </w:numPr>
        <w:spacing w:after="71"/>
        <w:ind w:hanging="360"/>
      </w:pPr>
      <w:r>
        <w:lastRenderedPageBreak/>
        <w:t>Réseau national de partage de pratiques entre communes et intercommunalités engagées</w:t>
      </w:r>
      <w:r>
        <w:rPr>
          <w:color w:val="000000"/>
        </w:rPr>
        <w:t xml:space="preserve"> </w:t>
      </w:r>
    </w:p>
    <w:p w14:paraId="523F02A6" w14:textId="77777777" w:rsidR="00C1273C" w:rsidRDefault="00000000">
      <w:pPr>
        <w:numPr>
          <w:ilvl w:val="1"/>
          <w:numId w:val="3"/>
        </w:numPr>
        <w:spacing w:after="57"/>
        <w:ind w:hanging="360"/>
      </w:pPr>
      <w:r>
        <w:t>Intégration de la subsidiarité alimentaire dans les formations initiales INSP et IRA</w:t>
      </w:r>
      <w:r>
        <w:rPr>
          <w:color w:val="000000"/>
        </w:rPr>
        <w:t xml:space="preserve"> </w:t>
      </w:r>
    </w:p>
    <w:p w14:paraId="56556B3A" w14:textId="77777777" w:rsidR="00C1273C" w:rsidRDefault="00000000">
      <w:pPr>
        <w:spacing w:after="7" w:line="259" w:lineRule="auto"/>
        <w:ind w:left="0" w:firstLine="0"/>
      </w:pPr>
      <w:r>
        <w:rPr>
          <w:color w:val="000000"/>
        </w:rPr>
        <w:t xml:space="preserve"> </w:t>
      </w:r>
    </w:p>
    <w:p w14:paraId="25FF7081" w14:textId="77777777" w:rsidR="00C1273C" w:rsidRDefault="00000000">
      <w:pPr>
        <w:spacing w:after="89"/>
        <w:ind w:left="-5"/>
      </w:pPr>
      <w:r>
        <w:rPr>
          <w:rFonts w:ascii="Segoe UI Emoji" w:eastAsia="Segoe UI Emoji" w:hAnsi="Segoe UI Emoji" w:cs="Segoe UI Emoji"/>
          <w:color w:val="2E5D2E"/>
        </w:rPr>
        <w:t>👉</w:t>
      </w:r>
      <w:r>
        <w:rPr>
          <w:b/>
          <w:color w:val="2E5D2E"/>
        </w:rPr>
        <w:t xml:space="preserve"> Objectif : </w:t>
      </w:r>
      <w:r>
        <w:rPr>
          <w:i/>
        </w:rPr>
        <w:t>Forger une génération de décideurs capables de penser et d'agir systémiquement</w:t>
      </w:r>
      <w:r>
        <w:rPr>
          <w:color w:val="000000"/>
        </w:rPr>
        <w:t xml:space="preserve"> </w:t>
      </w:r>
    </w:p>
    <w:p w14:paraId="538BD5EF" w14:textId="77777777" w:rsidR="00C1273C" w:rsidRDefault="00000000">
      <w:pPr>
        <w:spacing w:after="117" w:line="259" w:lineRule="auto"/>
        <w:ind w:left="0" w:firstLine="0"/>
      </w:pPr>
      <w:r>
        <w:rPr>
          <w:color w:val="000000"/>
        </w:rPr>
        <w:t xml:space="preserve"> </w:t>
      </w:r>
    </w:p>
    <w:p w14:paraId="369B2032" w14:textId="77777777" w:rsidR="00C1273C" w:rsidRDefault="00000000">
      <w:pPr>
        <w:spacing w:after="398" w:line="259" w:lineRule="auto"/>
        <w:ind w:left="0" w:firstLine="0"/>
      </w:pPr>
      <w:r>
        <w:rPr>
          <w:color w:val="000000"/>
        </w:rPr>
        <w:t xml:space="preserve"> </w:t>
      </w:r>
    </w:p>
    <w:p w14:paraId="782EE6FE" w14:textId="77777777" w:rsidR="00C1273C" w:rsidRDefault="00000000">
      <w:pPr>
        <w:pStyle w:val="Titre1"/>
        <w:numPr>
          <w:ilvl w:val="0"/>
          <w:numId w:val="0"/>
        </w:numPr>
        <w:ind w:left="-5"/>
      </w:pPr>
      <w:r>
        <w:t>CONCLUSION</w:t>
      </w:r>
      <w:r>
        <w:rPr>
          <w:color w:val="000000"/>
        </w:rPr>
        <w:t xml:space="preserve"> </w:t>
      </w:r>
    </w:p>
    <w:p w14:paraId="3A608D65" w14:textId="77777777" w:rsidR="00C1273C" w:rsidRDefault="00000000">
      <w:pPr>
        <w:spacing w:after="204" w:line="259" w:lineRule="auto"/>
        <w:ind w:left="-29" w:right="-40" w:firstLine="0"/>
      </w:pPr>
      <w:r>
        <w:rPr>
          <w:noProof/>
          <w:color w:val="000000"/>
        </w:rPr>
        <mc:AlternateContent>
          <mc:Choice Requires="wpg">
            <w:drawing>
              <wp:inline distT="0" distB="0" distL="0" distR="0" wp14:anchorId="490FBB12" wp14:editId="7B887DEC">
                <wp:extent cx="6074410" cy="12193"/>
                <wp:effectExtent l="0" t="0" r="0" b="0"/>
                <wp:docPr id="14155" name="Group 14155"/>
                <wp:cNvGraphicFramePr/>
                <a:graphic xmlns:a="http://schemas.openxmlformats.org/drawingml/2006/main">
                  <a:graphicData uri="http://schemas.microsoft.com/office/word/2010/wordprocessingGroup">
                    <wpg:wgp>
                      <wpg:cNvGrpSpPr/>
                      <wpg:grpSpPr>
                        <a:xfrm>
                          <a:off x="0" y="0"/>
                          <a:ext cx="6074410" cy="12193"/>
                          <a:chOff x="0" y="0"/>
                          <a:chExt cx="6074410" cy="12193"/>
                        </a:xfrm>
                      </wpg:grpSpPr>
                      <wps:wsp>
                        <wps:cNvPr id="16584" name="Shape 16584"/>
                        <wps:cNvSpPr/>
                        <wps:spPr>
                          <a:xfrm>
                            <a:off x="0" y="0"/>
                            <a:ext cx="6074410" cy="12193"/>
                          </a:xfrm>
                          <a:custGeom>
                            <a:avLst/>
                            <a:gdLst/>
                            <a:ahLst/>
                            <a:cxnLst/>
                            <a:rect l="0" t="0" r="0" b="0"/>
                            <a:pathLst>
                              <a:path w="6074410" h="12193">
                                <a:moveTo>
                                  <a:pt x="0" y="0"/>
                                </a:moveTo>
                                <a:lnTo>
                                  <a:pt x="6074410" y="0"/>
                                </a:lnTo>
                                <a:lnTo>
                                  <a:pt x="6074410" y="12193"/>
                                </a:lnTo>
                                <a:lnTo>
                                  <a:pt x="0" y="12193"/>
                                </a:lnTo>
                                <a:lnTo>
                                  <a:pt x="0" y="0"/>
                                </a:lnTo>
                              </a:path>
                            </a:pathLst>
                          </a:custGeom>
                          <a:ln w="0" cap="flat">
                            <a:miter lim="127000"/>
                          </a:ln>
                        </wps:spPr>
                        <wps:style>
                          <a:lnRef idx="0">
                            <a:srgbClr val="000000">
                              <a:alpha val="0"/>
                            </a:srgbClr>
                          </a:lnRef>
                          <a:fillRef idx="1">
                            <a:srgbClr val="1B3A6B"/>
                          </a:fillRef>
                          <a:effectRef idx="0">
                            <a:scrgbClr r="0" g="0" b="0"/>
                          </a:effectRef>
                          <a:fontRef idx="none"/>
                        </wps:style>
                        <wps:bodyPr/>
                      </wps:wsp>
                    </wpg:wgp>
                  </a:graphicData>
                </a:graphic>
              </wp:inline>
            </w:drawing>
          </mc:Choice>
          <mc:Fallback xmlns:a="http://schemas.openxmlformats.org/drawingml/2006/main">
            <w:pict>
              <v:group id="Group 14155" style="width:478.3pt;height:0.960083pt;mso-position-horizontal-relative:char;mso-position-vertical-relative:line" coordsize="60744,121">
                <v:shape id="Shape 16585" style="position:absolute;width:60744;height:121;left:0;top:0;" coordsize="6074410,12193" path="m0,0l6074410,0l6074410,12193l0,12193l0,0">
                  <v:stroke weight="0pt" endcap="flat" joinstyle="miter" miterlimit="10" on="false" color="#000000" opacity="0"/>
                  <v:fill on="true" color="#1b3a6b"/>
                </v:shape>
              </v:group>
            </w:pict>
          </mc:Fallback>
        </mc:AlternateContent>
      </w:r>
    </w:p>
    <w:p w14:paraId="251D1D8E" w14:textId="77777777" w:rsidR="00C1273C" w:rsidRDefault="00000000">
      <w:r>
        <w:t xml:space="preserve">La résilience alimentaire n'est pas un sujet sectoriel de plus. C'est le terrain le plus concret et le plus immédiatement mesurable pour expérimenter la logique de refondation que l'Institut pour la Refondation Publique porte : subsidiarité ascendante, financement conditionné aux résultats, mesure transversale des externalités, </w:t>
      </w:r>
      <w:proofErr w:type="spellStart"/>
      <w:r>
        <w:t>encapacitation</w:t>
      </w:r>
      <w:proofErr w:type="spellEnd"/>
      <w:r>
        <w:t xml:space="preserve"> des territoires.</w:t>
      </w:r>
      <w:r>
        <w:rPr>
          <w:color w:val="000000"/>
        </w:rPr>
        <w:t xml:space="preserve"> </w:t>
      </w:r>
    </w:p>
    <w:p w14:paraId="69039D76" w14:textId="77777777" w:rsidR="00C1273C" w:rsidRDefault="00000000">
      <w:r>
        <w:t xml:space="preserve">La démarche </w:t>
      </w:r>
      <w:proofErr w:type="spellStart"/>
      <w:r>
        <w:t>Géorésilience</w:t>
      </w:r>
      <w:proofErr w:type="spellEnd"/>
      <w:r>
        <w:t xml:space="preserve"> propose d'en faire un laboratoire grandeur nature — à condition de l'inscrire dans un cadre public modernisé, incitatif et piloté par la preuve.</w:t>
      </w:r>
      <w:r>
        <w:rPr>
          <w:color w:val="000000"/>
        </w:rPr>
        <w:t xml:space="preserve"> </w:t>
      </w:r>
    </w:p>
    <w:p w14:paraId="4ABC9FA4" w14:textId="77777777" w:rsidR="00C1273C" w:rsidRDefault="00000000">
      <w:pPr>
        <w:spacing w:after="139" w:line="259" w:lineRule="auto"/>
        <w:ind w:left="0" w:firstLine="0"/>
      </w:pPr>
      <w:r>
        <w:rPr>
          <w:color w:val="000000"/>
        </w:rPr>
        <w:t xml:space="preserve"> </w:t>
      </w:r>
    </w:p>
    <w:p w14:paraId="4145465F" w14:textId="77777777" w:rsidR="00C1273C" w:rsidRDefault="00000000">
      <w:pPr>
        <w:pBdr>
          <w:top w:val="single" w:sz="12" w:space="0" w:color="1B3A6B"/>
          <w:left w:val="single" w:sz="4" w:space="0" w:color="CBD5E0"/>
          <w:bottom w:val="single" w:sz="4" w:space="0" w:color="CBD5E0"/>
          <w:right w:val="single" w:sz="4" w:space="0" w:color="CBD5E0"/>
        </w:pBdr>
        <w:shd w:val="clear" w:color="auto" w:fill="EBF0F9"/>
        <w:spacing w:after="47"/>
        <w:ind w:left="116" w:right="220"/>
      </w:pPr>
      <w:r>
        <w:rPr>
          <w:i/>
          <w:color w:val="2D3748"/>
        </w:rPr>
        <w:t>« Passer d'un État qui compense les crises à un État qui organise la résilience. »</w:t>
      </w:r>
      <w:r>
        <w:rPr>
          <w:color w:val="000000"/>
        </w:rPr>
        <w:t xml:space="preserve"> </w:t>
      </w:r>
    </w:p>
    <w:p w14:paraId="19A984A7" w14:textId="77777777" w:rsidR="00C1273C" w:rsidRDefault="00000000">
      <w:pPr>
        <w:pBdr>
          <w:top w:val="single" w:sz="12" w:space="0" w:color="1B3A6B"/>
          <w:left w:val="single" w:sz="4" w:space="0" w:color="CBD5E0"/>
          <w:bottom w:val="single" w:sz="4" w:space="0" w:color="CBD5E0"/>
          <w:right w:val="single" w:sz="4" w:space="0" w:color="CBD5E0"/>
        </w:pBdr>
        <w:shd w:val="clear" w:color="auto" w:fill="EBF0F9"/>
        <w:spacing w:after="204" w:line="259" w:lineRule="auto"/>
        <w:ind w:left="116" w:right="220"/>
        <w:jc w:val="right"/>
      </w:pPr>
      <w:r>
        <w:rPr>
          <w:color w:val="4A5568"/>
          <w:sz w:val="20"/>
        </w:rPr>
        <w:t xml:space="preserve">— Géorésilience.fr / </w:t>
      </w:r>
      <w:proofErr w:type="spellStart"/>
      <w:r>
        <w:rPr>
          <w:color w:val="4A5568"/>
          <w:sz w:val="20"/>
        </w:rPr>
        <w:t>Lab</w:t>
      </w:r>
      <w:proofErr w:type="spellEnd"/>
      <w:r>
        <w:rPr>
          <w:color w:val="4A5568"/>
          <w:sz w:val="20"/>
        </w:rPr>
        <w:t xml:space="preserve"> Solutions Publiques</w:t>
      </w:r>
      <w:r>
        <w:rPr>
          <w:color w:val="000000"/>
        </w:rPr>
        <w:t xml:space="preserve"> </w:t>
      </w:r>
    </w:p>
    <w:p w14:paraId="1752C1DA" w14:textId="77777777" w:rsidR="00C1273C" w:rsidRDefault="00000000">
      <w:pPr>
        <w:spacing w:after="138" w:line="259" w:lineRule="auto"/>
        <w:ind w:left="0" w:firstLine="0"/>
      </w:pPr>
      <w:r>
        <w:rPr>
          <w:color w:val="000000"/>
        </w:rPr>
        <w:t xml:space="preserve"> </w:t>
      </w:r>
    </w:p>
    <w:p w14:paraId="5CE39119" w14:textId="77777777" w:rsidR="00C1273C" w:rsidRDefault="00000000">
      <w:pPr>
        <w:spacing w:after="0" w:line="259" w:lineRule="auto"/>
        <w:ind w:left="0" w:firstLine="0"/>
      </w:pPr>
      <w:r>
        <w:rPr>
          <w:color w:val="000000"/>
        </w:rPr>
        <w:t xml:space="preserve"> </w:t>
      </w:r>
    </w:p>
    <w:p w14:paraId="2142622C" w14:textId="77777777" w:rsidR="00C1273C" w:rsidRDefault="00000000">
      <w:pPr>
        <w:pStyle w:val="Titre2"/>
        <w:ind w:left="9" w:firstLine="0"/>
        <w:jc w:val="center"/>
      </w:pPr>
      <w:r>
        <w:rPr>
          <w:rFonts w:ascii="Segoe UI Emoji" w:eastAsia="Segoe UI Emoji" w:hAnsi="Segoe UI Emoji" w:cs="Segoe UI Emoji"/>
          <w:b w:val="0"/>
          <w:color w:val="D3D3D3"/>
          <w:sz w:val="22"/>
        </w:rPr>
        <w:t xml:space="preserve"> </w:t>
      </w:r>
      <w:r>
        <w:rPr>
          <w:color w:val="000000"/>
          <w:sz w:val="22"/>
        </w:rPr>
        <w:t xml:space="preserve">  SYNTHÈSE — 8 MESURES CLÉS</w:t>
      </w:r>
      <w:r>
        <w:rPr>
          <w:b w:val="0"/>
          <w:color w:val="000000"/>
          <w:sz w:val="22"/>
        </w:rPr>
        <w:t xml:space="preserve"> </w:t>
      </w:r>
    </w:p>
    <w:p w14:paraId="0ABCEFA7" w14:textId="77777777" w:rsidR="00C1273C" w:rsidRDefault="00000000">
      <w:pPr>
        <w:spacing w:after="0" w:line="259" w:lineRule="auto"/>
        <w:ind w:left="1714" w:firstLine="0"/>
      </w:pPr>
      <w:r>
        <w:rPr>
          <w:i/>
          <w:color w:val="000000"/>
        </w:rPr>
        <w:t>Moderniser l'action publique par la résilience alimentaire territoriale</w:t>
      </w:r>
      <w:r>
        <w:rPr>
          <w:color w:val="000000"/>
        </w:rPr>
        <w:t xml:space="preserve"> </w:t>
      </w:r>
    </w:p>
    <w:tbl>
      <w:tblPr>
        <w:tblStyle w:val="TableGrid"/>
        <w:tblW w:w="9259" w:type="dxa"/>
        <w:tblInd w:w="6" w:type="dxa"/>
        <w:tblCellMar>
          <w:top w:w="90" w:type="dxa"/>
          <w:left w:w="110" w:type="dxa"/>
          <w:bottom w:w="0" w:type="dxa"/>
          <w:right w:w="29" w:type="dxa"/>
        </w:tblCellMar>
        <w:tblLook w:val="04A0" w:firstRow="1" w:lastRow="0" w:firstColumn="1" w:lastColumn="0" w:noHBand="0" w:noVBand="1"/>
      </w:tblPr>
      <w:tblGrid>
        <w:gridCol w:w="300"/>
        <w:gridCol w:w="2501"/>
        <w:gridCol w:w="2960"/>
        <w:gridCol w:w="3498"/>
      </w:tblGrid>
      <w:tr w:rsidR="00C1273C" w14:paraId="540965C6" w14:textId="77777777">
        <w:trPr>
          <w:trHeight w:val="694"/>
        </w:trPr>
        <w:tc>
          <w:tcPr>
            <w:tcW w:w="299" w:type="dxa"/>
            <w:tcBorders>
              <w:top w:val="single" w:sz="32" w:space="0" w:color="1B3A6B"/>
              <w:left w:val="single" w:sz="4" w:space="0" w:color="1B3A6B"/>
              <w:bottom w:val="single" w:sz="22" w:space="0" w:color="FFFFFF"/>
              <w:right w:val="single" w:sz="4" w:space="0" w:color="1B3A6B"/>
            </w:tcBorders>
            <w:shd w:val="clear" w:color="auto" w:fill="1B3A6B"/>
          </w:tcPr>
          <w:p w14:paraId="0D429FF4" w14:textId="77777777" w:rsidR="00C1273C" w:rsidRDefault="00000000">
            <w:pPr>
              <w:spacing w:after="0" w:line="259" w:lineRule="auto"/>
              <w:ind w:left="0" w:firstLine="0"/>
              <w:jc w:val="both"/>
            </w:pPr>
            <w:r>
              <w:rPr>
                <w:b/>
                <w:color w:val="FFFFFF"/>
              </w:rPr>
              <w:t>N</w:t>
            </w:r>
          </w:p>
          <w:p w14:paraId="4FFF15A7" w14:textId="77777777" w:rsidR="00C1273C" w:rsidRDefault="00000000">
            <w:pPr>
              <w:spacing w:after="0" w:line="259" w:lineRule="auto"/>
              <w:ind w:left="2" w:firstLine="0"/>
            </w:pPr>
            <w:r>
              <w:rPr>
                <w:b/>
                <w:color w:val="FFFFFF"/>
              </w:rPr>
              <w:t>°</w:t>
            </w:r>
            <w:r>
              <w:rPr>
                <w:color w:val="FFFFFF"/>
              </w:rPr>
              <w:t xml:space="preserve"> </w:t>
            </w:r>
          </w:p>
        </w:tc>
        <w:tc>
          <w:tcPr>
            <w:tcW w:w="2501" w:type="dxa"/>
            <w:tcBorders>
              <w:top w:val="single" w:sz="32" w:space="0" w:color="1B3A6B"/>
              <w:left w:val="single" w:sz="4" w:space="0" w:color="1B3A6B"/>
              <w:bottom w:val="single" w:sz="22" w:space="0" w:color="FFFFFF"/>
              <w:right w:val="single" w:sz="4" w:space="0" w:color="1B3A6B"/>
            </w:tcBorders>
            <w:shd w:val="clear" w:color="auto" w:fill="1B3A6B"/>
          </w:tcPr>
          <w:p w14:paraId="07EE827C" w14:textId="77777777" w:rsidR="00C1273C" w:rsidRDefault="00000000">
            <w:pPr>
              <w:spacing w:after="0" w:line="259" w:lineRule="auto"/>
              <w:ind w:left="0" w:right="83" w:firstLine="0"/>
              <w:jc w:val="center"/>
            </w:pPr>
            <w:r>
              <w:rPr>
                <w:b/>
                <w:color w:val="FFFFFF"/>
              </w:rPr>
              <w:t>Mesure</w:t>
            </w:r>
            <w:r>
              <w:rPr>
                <w:color w:val="FFFFFF"/>
              </w:rPr>
              <w:t xml:space="preserve"> </w:t>
            </w:r>
          </w:p>
        </w:tc>
        <w:tc>
          <w:tcPr>
            <w:tcW w:w="2960" w:type="dxa"/>
            <w:tcBorders>
              <w:top w:val="single" w:sz="32" w:space="0" w:color="1B3A6B"/>
              <w:left w:val="single" w:sz="4" w:space="0" w:color="1B3A6B"/>
              <w:bottom w:val="single" w:sz="22" w:space="0" w:color="FFFFFF"/>
              <w:right w:val="single" w:sz="4" w:space="0" w:color="1B3A6B"/>
            </w:tcBorders>
            <w:shd w:val="clear" w:color="auto" w:fill="1B3A6B"/>
          </w:tcPr>
          <w:p w14:paraId="64108837" w14:textId="77777777" w:rsidR="00C1273C" w:rsidRDefault="00000000">
            <w:pPr>
              <w:spacing w:after="0" w:line="259" w:lineRule="auto"/>
              <w:ind w:left="0" w:right="77" w:firstLine="0"/>
              <w:jc w:val="center"/>
            </w:pPr>
            <w:r>
              <w:rPr>
                <w:b/>
                <w:color w:val="FFFFFF"/>
              </w:rPr>
              <w:t>Base existante mobilisée</w:t>
            </w:r>
            <w:r>
              <w:rPr>
                <w:color w:val="FFFFFF"/>
              </w:rPr>
              <w:t xml:space="preserve"> </w:t>
            </w:r>
          </w:p>
        </w:tc>
        <w:tc>
          <w:tcPr>
            <w:tcW w:w="3498" w:type="dxa"/>
            <w:tcBorders>
              <w:top w:val="single" w:sz="32" w:space="0" w:color="1B3A6B"/>
              <w:left w:val="single" w:sz="4" w:space="0" w:color="1B3A6B"/>
              <w:bottom w:val="single" w:sz="22" w:space="0" w:color="FFFFFF"/>
              <w:right w:val="single" w:sz="4" w:space="0" w:color="1B3A6B"/>
            </w:tcBorders>
            <w:shd w:val="clear" w:color="auto" w:fill="1B3A6B"/>
          </w:tcPr>
          <w:p w14:paraId="69469685" w14:textId="77777777" w:rsidR="00C1273C" w:rsidRDefault="00000000">
            <w:pPr>
              <w:spacing w:after="0" w:line="259" w:lineRule="auto"/>
              <w:ind w:left="0" w:right="77" w:firstLine="0"/>
              <w:jc w:val="center"/>
            </w:pPr>
            <w:r>
              <w:rPr>
                <w:b/>
                <w:color w:val="FFFFFF"/>
              </w:rPr>
              <w:t>Logique de refondation</w:t>
            </w:r>
            <w:r>
              <w:rPr>
                <w:color w:val="FFFFFF"/>
              </w:rPr>
              <w:t xml:space="preserve"> </w:t>
            </w:r>
          </w:p>
        </w:tc>
      </w:tr>
      <w:tr w:rsidR="00C1273C" w14:paraId="2939928E" w14:textId="77777777">
        <w:trPr>
          <w:trHeight w:val="703"/>
        </w:trPr>
        <w:tc>
          <w:tcPr>
            <w:tcW w:w="299" w:type="dxa"/>
            <w:tcBorders>
              <w:top w:val="single" w:sz="22" w:space="0" w:color="FFFFFF"/>
              <w:left w:val="single" w:sz="4" w:space="0" w:color="CBD5E0"/>
              <w:bottom w:val="single" w:sz="4" w:space="0" w:color="CBD5E0"/>
              <w:right w:val="single" w:sz="4" w:space="0" w:color="CBD5E0"/>
            </w:tcBorders>
          </w:tcPr>
          <w:p w14:paraId="079247A2" w14:textId="77777777" w:rsidR="00C1273C" w:rsidRDefault="00000000">
            <w:pPr>
              <w:spacing w:after="0" w:line="259" w:lineRule="auto"/>
              <w:ind w:left="0" w:firstLine="0"/>
            </w:pPr>
            <w:r>
              <w:rPr>
                <w:color w:val="000000"/>
              </w:rPr>
              <w:t xml:space="preserve">1 </w:t>
            </w:r>
          </w:p>
        </w:tc>
        <w:tc>
          <w:tcPr>
            <w:tcW w:w="2501" w:type="dxa"/>
            <w:tcBorders>
              <w:top w:val="single" w:sz="22" w:space="0" w:color="FFFFFF"/>
              <w:left w:val="single" w:sz="4" w:space="0" w:color="CBD5E0"/>
              <w:bottom w:val="single" w:sz="4" w:space="0" w:color="CBD5E0"/>
              <w:right w:val="single" w:sz="4" w:space="0" w:color="CBD5E0"/>
            </w:tcBorders>
            <w:vAlign w:val="center"/>
          </w:tcPr>
          <w:p w14:paraId="11D2B825" w14:textId="77777777" w:rsidR="00C1273C" w:rsidRDefault="00000000">
            <w:pPr>
              <w:spacing w:after="0" w:line="259" w:lineRule="auto"/>
              <w:ind w:left="0" w:firstLine="0"/>
              <w:jc w:val="center"/>
            </w:pPr>
            <w:r>
              <w:rPr>
                <w:color w:val="000000"/>
              </w:rPr>
              <w:t xml:space="preserve">Cadre budgétaire des externalités positives </w:t>
            </w:r>
          </w:p>
        </w:tc>
        <w:tc>
          <w:tcPr>
            <w:tcW w:w="2960" w:type="dxa"/>
            <w:tcBorders>
              <w:top w:val="single" w:sz="22" w:space="0" w:color="FFFFFF"/>
              <w:left w:val="single" w:sz="4" w:space="0" w:color="CBD5E0"/>
              <w:bottom w:val="single" w:sz="4" w:space="0" w:color="CBD5E0"/>
              <w:right w:val="single" w:sz="4" w:space="0" w:color="CBD5E0"/>
            </w:tcBorders>
            <w:vAlign w:val="center"/>
          </w:tcPr>
          <w:p w14:paraId="5BEF0FF3" w14:textId="77777777" w:rsidR="00C1273C" w:rsidRDefault="00000000">
            <w:pPr>
              <w:spacing w:after="0" w:line="259" w:lineRule="auto"/>
              <w:ind w:left="0" w:firstLine="0"/>
              <w:jc w:val="center"/>
            </w:pPr>
            <w:r>
              <w:rPr>
                <w:color w:val="000000"/>
              </w:rPr>
              <w:t xml:space="preserve">LOLF — Documents de politique transversale </w:t>
            </w:r>
          </w:p>
        </w:tc>
        <w:tc>
          <w:tcPr>
            <w:tcW w:w="3498" w:type="dxa"/>
            <w:tcBorders>
              <w:top w:val="single" w:sz="22" w:space="0" w:color="FFFFFF"/>
              <w:left w:val="single" w:sz="4" w:space="0" w:color="CBD5E0"/>
              <w:bottom w:val="single" w:sz="4" w:space="0" w:color="CBD5E0"/>
              <w:right w:val="single" w:sz="4" w:space="0" w:color="CBD5E0"/>
            </w:tcBorders>
            <w:vAlign w:val="center"/>
          </w:tcPr>
          <w:p w14:paraId="7D43B311" w14:textId="77777777" w:rsidR="00C1273C" w:rsidRDefault="00000000">
            <w:pPr>
              <w:spacing w:after="0" w:line="259" w:lineRule="auto"/>
              <w:ind w:left="0" w:firstLine="0"/>
              <w:jc w:val="center"/>
            </w:pPr>
            <w:r>
              <w:rPr>
                <w:color w:val="000000"/>
              </w:rPr>
              <w:t xml:space="preserve">Rendre visible le retour sur investissement </w:t>
            </w:r>
            <w:proofErr w:type="spellStart"/>
            <w:r>
              <w:rPr>
                <w:color w:val="000000"/>
              </w:rPr>
              <w:t>inter-ministériel</w:t>
            </w:r>
            <w:proofErr w:type="spellEnd"/>
            <w:r>
              <w:rPr>
                <w:color w:val="000000"/>
              </w:rPr>
              <w:t xml:space="preserve"> </w:t>
            </w:r>
          </w:p>
        </w:tc>
      </w:tr>
      <w:tr w:rsidR="00C1273C" w14:paraId="006DC1D7" w14:textId="77777777">
        <w:trPr>
          <w:trHeight w:val="697"/>
        </w:trPr>
        <w:tc>
          <w:tcPr>
            <w:tcW w:w="299" w:type="dxa"/>
            <w:tcBorders>
              <w:top w:val="single" w:sz="4" w:space="0" w:color="CBD5E0"/>
              <w:left w:val="single" w:sz="4" w:space="0" w:color="CBD5E0"/>
              <w:bottom w:val="single" w:sz="22" w:space="0" w:color="FFFFFF"/>
              <w:right w:val="single" w:sz="4" w:space="0" w:color="CBD5E0"/>
            </w:tcBorders>
            <w:shd w:val="clear" w:color="auto" w:fill="F7F8FA"/>
          </w:tcPr>
          <w:p w14:paraId="20B82356" w14:textId="77777777" w:rsidR="00C1273C" w:rsidRDefault="00000000">
            <w:pPr>
              <w:spacing w:after="0" w:line="259" w:lineRule="auto"/>
              <w:ind w:left="0" w:firstLine="0"/>
            </w:pPr>
            <w:r>
              <w:rPr>
                <w:color w:val="000000"/>
              </w:rPr>
              <w:t xml:space="preserve">2 </w:t>
            </w:r>
          </w:p>
        </w:tc>
        <w:tc>
          <w:tcPr>
            <w:tcW w:w="2501" w:type="dxa"/>
            <w:tcBorders>
              <w:top w:val="single" w:sz="4" w:space="0" w:color="CBD5E0"/>
              <w:left w:val="single" w:sz="4" w:space="0" w:color="CBD5E0"/>
              <w:bottom w:val="single" w:sz="22" w:space="0" w:color="FFFFFF"/>
              <w:right w:val="single" w:sz="4" w:space="0" w:color="CBD5E0"/>
            </w:tcBorders>
            <w:shd w:val="clear" w:color="auto" w:fill="F7F8FA"/>
            <w:vAlign w:val="center"/>
          </w:tcPr>
          <w:p w14:paraId="5330543C" w14:textId="77777777" w:rsidR="00C1273C" w:rsidRDefault="00000000">
            <w:pPr>
              <w:spacing w:after="0" w:line="259" w:lineRule="auto"/>
              <w:ind w:left="0" w:firstLine="0"/>
              <w:jc w:val="center"/>
            </w:pPr>
            <w:r>
              <w:rPr>
                <w:color w:val="000000"/>
              </w:rPr>
              <w:t xml:space="preserve">Programme « Communes résilientes » </w:t>
            </w:r>
          </w:p>
        </w:tc>
        <w:tc>
          <w:tcPr>
            <w:tcW w:w="2960" w:type="dxa"/>
            <w:tcBorders>
              <w:top w:val="single" w:sz="4" w:space="0" w:color="CBD5E0"/>
              <w:left w:val="single" w:sz="4" w:space="0" w:color="CBD5E0"/>
              <w:bottom w:val="single" w:sz="22" w:space="0" w:color="FFFFFF"/>
              <w:right w:val="single" w:sz="4" w:space="0" w:color="CBD5E0"/>
            </w:tcBorders>
            <w:shd w:val="clear" w:color="auto" w:fill="F7F8FA"/>
            <w:vAlign w:val="center"/>
          </w:tcPr>
          <w:p w14:paraId="001C7245" w14:textId="77777777" w:rsidR="00C1273C" w:rsidRDefault="00000000">
            <w:pPr>
              <w:spacing w:after="0" w:line="259" w:lineRule="auto"/>
              <w:ind w:left="0" w:firstLine="0"/>
              <w:jc w:val="center"/>
            </w:pPr>
            <w:r>
              <w:rPr>
                <w:color w:val="000000"/>
              </w:rPr>
              <w:t xml:space="preserve">CGCT art. L2121-29 — Action Cœur de Ville </w:t>
            </w:r>
          </w:p>
        </w:tc>
        <w:tc>
          <w:tcPr>
            <w:tcW w:w="3498" w:type="dxa"/>
            <w:tcBorders>
              <w:top w:val="single" w:sz="4" w:space="0" w:color="CBD5E0"/>
              <w:left w:val="single" w:sz="4" w:space="0" w:color="CBD5E0"/>
              <w:bottom w:val="single" w:sz="22" w:space="0" w:color="FFFFFF"/>
              <w:right w:val="single" w:sz="4" w:space="0" w:color="CBD5E0"/>
            </w:tcBorders>
            <w:shd w:val="clear" w:color="auto" w:fill="F7F8FA"/>
            <w:vAlign w:val="center"/>
          </w:tcPr>
          <w:p w14:paraId="5E5866D4" w14:textId="77777777" w:rsidR="00C1273C" w:rsidRDefault="00000000">
            <w:pPr>
              <w:spacing w:after="0" w:line="259" w:lineRule="auto"/>
              <w:ind w:left="0" w:firstLine="0"/>
              <w:jc w:val="center"/>
            </w:pPr>
            <w:r>
              <w:rPr>
                <w:color w:val="000000"/>
              </w:rPr>
              <w:t xml:space="preserve">Massifier la subsidiarité alimentaire par l'ingénierie locale </w:t>
            </w:r>
          </w:p>
        </w:tc>
      </w:tr>
      <w:tr w:rsidR="00C1273C" w14:paraId="4DDAC260" w14:textId="77777777">
        <w:trPr>
          <w:trHeight w:val="697"/>
        </w:trPr>
        <w:tc>
          <w:tcPr>
            <w:tcW w:w="299" w:type="dxa"/>
            <w:tcBorders>
              <w:top w:val="single" w:sz="22" w:space="0" w:color="FFFFFF"/>
              <w:left w:val="single" w:sz="4" w:space="0" w:color="CBD5E0"/>
              <w:bottom w:val="single" w:sz="4" w:space="0" w:color="CBD5E0"/>
              <w:right w:val="single" w:sz="4" w:space="0" w:color="CBD5E0"/>
            </w:tcBorders>
          </w:tcPr>
          <w:p w14:paraId="0DB20969" w14:textId="77777777" w:rsidR="00C1273C" w:rsidRDefault="00000000">
            <w:pPr>
              <w:spacing w:after="0" w:line="259" w:lineRule="auto"/>
              <w:ind w:left="0" w:firstLine="0"/>
            </w:pPr>
            <w:r>
              <w:rPr>
                <w:color w:val="000000"/>
              </w:rPr>
              <w:t xml:space="preserve">3 </w:t>
            </w:r>
          </w:p>
        </w:tc>
        <w:tc>
          <w:tcPr>
            <w:tcW w:w="2501" w:type="dxa"/>
            <w:tcBorders>
              <w:top w:val="single" w:sz="22" w:space="0" w:color="FFFFFF"/>
              <w:left w:val="single" w:sz="4" w:space="0" w:color="CBD5E0"/>
              <w:bottom w:val="single" w:sz="4" w:space="0" w:color="CBD5E0"/>
              <w:right w:val="single" w:sz="4" w:space="0" w:color="CBD5E0"/>
            </w:tcBorders>
            <w:vAlign w:val="center"/>
          </w:tcPr>
          <w:p w14:paraId="021FAC62" w14:textId="77777777" w:rsidR="00C1273C" w:rsidRDefault="00000000">
            <w:pPr>
              <w:spacing w:after="0" w:line="259" w:lineRule="auto"/>
              <w:ind w:left="0" w:firstLine="0"/>
              <w:jc w:val="center"/>
            </w:pPr>
            <w:r>
              <w:rPr>
                <w:color w:val="000000"/>
              </w:rPr>
              <w:t xml:space="preserve">Contrats de résilience territoriale </w:t>
            </w:r>
          </w:p>
        </w:tc>
        <w:tc>
          <w:tcPr>
            <w:tcW w:w="2960" w:type="dxa"/>
            <w:tcBorders>
              <w:top w:val="single" w:sz="22" w:space="0" w:color="FFFFFF"/>
              <w:left w:val="single" w:sz="4" w:space="0" w:color="CBD5E0"/>
              <w:bottom w:val="single" w:sz="4" w:space="0" w:color="CBD5E0"/>
              <w:right w:val="single" w:sz="4" w:space="0" w:color="CBD5E0"/>
            </w:tcBorders>
            <w:vAlign w:val="center"/>
          </w:tcPr>
          <w:p w14:paraId="1424E32A" w14:textId="77777777" w:rsidR="00C1273C" w:rsidRDefault="00000000">
            <w:pPr>
              <w:spacing w:after="0" w:line="259" w:lineRule="auto"/>
              <w:ind w:left="20" w:firstLine="0"/>
            </w:pPr>
            <w:r>
              <w:rPr>
                <w:color w:val="000000"/>
              </w:rPr>
              <w:t xml:space="preserve">849 CRTE signés — instruction </w:t>
            </w:r>
          </w:p>
          <w:p w14:paraId="662B7CE4" w14:textId="77777777" w:rsidR="00C1273C" w:rsidRDefault="00000000">
            <w:pPr>
              <w:spacing w:after="0" w:line="259" w:lineRule="auto"/>
              <w:ind w:left="0" w:right="77" w:firstLine="0"/>
              <w:jc w:val="center"/>
            </w:pPr>
            <w:r>
              <w:rPr>
                <w:color w:val="000000"/>
              </w:rPr>
              <w:t xml:space="preserve">2024 </w:t>
            </w:r>
          </w:p>
        </w:tc>
        <w:tc>
          <w:tcPr>
            <w:tcW w:w="3498" w:type="dxa"/>
            <w:tcBorders>
              <w:top w:val="single" w:sz="22" w:space="0" w:color="FFFFFF"/>
              <w:left w:val="single" w:sz="4" w:space="0" w:color="CBD5E0"/>
              <w:bottom w:val="single" w:sz="4" w:space="0" w:color="CBD5E0"/>
              <w:right w:val="single" w:sz="4" w:space="0" w:color="CBD5E0"/>
            </w:tcBorders>
            <w:vAlign w:val="center"/>
          </w:tcPr>
          <w:p w14:paraId="2D63199F" w14:textId="77777777" w:rsidR="00C1273C" w:rsidRDefault="00000000">
            <w:pPr>
              <w:spacing w:after="0" w:line="259" w:lineRule="auto"/>
              <w:ind w:left="0" w:firstLine="0"/>
              <w:jc w:val="center"/>
            </w:pPr>
            <w:r>
              <w:rPr>
                <w:color w:val="000000"/>
              </w:rPr>
              <w:t xml:space="preserve">Financement conditionné aux résultats, non aux dépenses </w:t>
            </w:r>
          </w:p>
        </w:tc>
      </w:tr>
      <w:tr w:rsidR="00C1273C" w14:paraId="1D446CDC" w14:textId="77777777">
        <w:trPr>
          <w:trHeight w:val="698"/>
        </w:trPr>
        <w:tc>
          <w:tcPr>
            <w:tcW w:w="299" w:type="dxa"/>
            <w:tcBorders>
              <w:top w:val="single" w:sz="4" w:space="0" w:color="CBD5E0"/>
              <w:left w:val="single" w:sz="4" w:space="0" w:color="CBD5E0"/>
              <w:bottom w:val="single" w:sz="22" w:space="0" w:color="FFFFFF"/>
              <w:right w:val="single" w:sz="4" w:space="0" w:color="CBD5E0"/>
            </w:tcBorders>
            <w:shd w:val="clear" w:color="auto" w:fill="F7F8FA"/>
          </w:tcPr>
          <w:p w14:paraId="5C5FC001" w14:textId="77777777" w:rsidR="00C1273C" w:rsidRDefault="00000000">
            <w:pPr>
              <w:spacing w:after="0" w:line="259" w:lineRule="auto"/>
              <w:ind w:left="0" w:firstLine="0"/>
            </w:pPr>
            <w:r>
              <w:rPr>
                <w:color w:val="000000"/>
              </w:rPr>
              <w:t xml:space="preserve">4 </w:t>
            </w:r>
          </w:p>
        </w:tc>
        <w:tc>
          <w:tcPr>
            <w:tcW w:w="2501" w:type="dxa"/>
            <w:tcBorders>
              <w:top w:val="single" w:sz="4" w:space="0" w:color="CBD5E0"/>
              <w:left w:val="single" w:sz="4" w:space="0" w:color="CBD5E0"/>
              <w:bottom w:val="single" w:sz="22" w:space="0" w:color="FFFFFF"/>
              <w:right w:val="single" w:sz="4" w:space="0" w:color="CBD5E0"/>
            </w:tcBorders>
            <w:shd w:val="clear" w:color="auto" w:fill="F7F8FA"/>
            <w:vAlign w:val="center"/>
          </w:tcPr>
          <w:p w14:paraId="6055CC1D" w14:textId="77777777" w:rsidR="00C1273C" w:rsidRDefault="00000000">
            <w:pPr>
              <w:spacing w:after="0" w:line="259" w:lineRule="auto"/>
              <w:ind w:left="8" w:right="43" w:firstLine="0"/>
              <w:jc w:val="center"/>
            </w:pPr>
            <w:r>
              <w:rPr>
                <w:color w:val="000000"/>
              </w:rPr>
              <w:t xml:space="preserve">Réforme de la commande publique </w:t>
            </w:r>
          </w:p>
        </w:tc>
        <w:tc>
          <w:tcPr>
            <w:tcW w:w="2960" w:type="dxa"/>
            <w:tcBorders>
              <w:top w:val="single" w:sz="4" w:space="0" w:color="CBD5E0"/>
              <w:left w:val="single" w:sz="4" w:space="0" w:color="CBD5E0"/>
              <w:bottom w:val="single" w:sz="22" w:space="0" w:color="FFFFFF"/>
              <w:right w:val="single" w:sz="4" w:space="0" w:color="CBD5E0"/>
            </w:tcBorders>
            <w:shd w:val="clear" w:color="auto" w:fill="F7F8FA"/>
            <w:vAlign w:val="center"/>
          </w:tcPr>
          <w:p w14:paraId="56846800" w14:textId="77777777" w:rsidR="00C1273C" w:rsidRDefault="00000000">
            <w:pPr>
              <w:spacing w:after="0" w:line="259" w:lineRule="auto"/>
              <w:ind w:left="0" w:firstLine="0"/>
              <w:jc w:val="center"/>
            </w:pPr>
            <w:r>
              <w:rPr>
                <w:color w:val="000000"/>
              </w:rPr>
              <w:t xml:space="preserve">Code commande publique — critères environnementaux </w:t>
            </w:r>
          </w:p>
        </w:tc>
        <w:tc>
          <w:tcPr>
            <w:tcW w:w="3498" w:type="dxa"/>
            <w:tcBorders>
              <w:top w:val="single" w:sz="4" w:space="0" w:color="CBD5E0"/>
              <w:left w:val="single" w:sz="4" w:space="0" w:color="CBD5E0"/>
              <w:bottom w:val="single" w:sz="22" w:space="0" w:color="FFFFFF"/>
              <w:right w:val="single" w:sz="4" w:space="0" w:color="CBD5E0"/>
            </w:tcBorders>
            <w:shd w:val="clear" w:color="auto" w:fill="F7F8FA"/>
            <w:vAlign w:val="center"/>
          </w:tcPr>
          <w:p w14:paraId="30969E52" w14:textId="77777777" w:rsidR="00C1273C" w:rsidRDefault="00000000">
            <w:pPr>
              <w:spacing w:after="0" w:line="259" w:lineRule="auto"/>
              <w:ind w:left="0" w:firstLine="0"/>
              <w:jc w:val="center"/>
            </w:pPr>
            <w:r>
              <w:rPr>
                <w:color w:val="000000"/>
              </w:rPr>
              <w:t xml:space="preserve">Faire de l'achat public le levier des filières courtes </w:t>
            </w:r>
          </w:p>
        </w:tc>
      </w:tr>
      <w:tr w:rsidR="00C1273C" w14:paraId="1DEB3F0F" w14:textId="77777777">
        <w:trPr>
          <w:trHeight w:val="697"/>
        </w:trPr>
        <w:tc>
          <w:tcPr>
            <w:tcW w:w="299" w:type="dxa"/>
            <w:tcBorders>
              <w:top w:val="single" w:sz="22" w:space="0" w:color="FFFFFF"/>
              <w:left w:val="single" w:sz="4" w:space="0" w:color="CBD5E0"/>
              <w:bottom w:val="single" w:sz="4" w:space="0" w:color="CBD5E0"/>
              <w:right w:val="single" w:sz="4" w:space="0" w:color="CBD5E0"/>
            </w:tcBorders>
          </w:tcPr>
          <w:p w14:paraId="6510E8D2" w14:textId="77777777" w:rsidR="00C1273C" w:rsidRDefault="00000000">
            <w:pPr>
              <w:spacing w:after="0" w:line="259" w:lineRule="auto"/>
              <w:ind w:left="0" w:firstLine="0"/>
            </w:pPr>
            <w:r>
              <w:rPr>
                <w:color w:val="000000"/>
              </w:rPr>
              <w:t xml:space="preserve">5 </w:t>
            </w:r>
          </w:p>
        </w:tc>
        <w:tc>
          <w:tcPr>
            <w:tcW w:w="2501" w:type="dxa"/>
            <w:tcBorders>
              <w:top w:val="single" w:sz="22" w:space="0" w:color="FFFFFF"/>
              <w:left w:val="single" w:sz="4" w:space="0" w:color="CBD5E0"/>
              <w:bottom w:val="single" w:sz="4" w:space="0" w:color="CBD5E0"/>
              <w:right w:val="single" w:sz="4" w:space="0" w:color="CBD5E0"/>
            </w:tcBorders>
            <w:vAlign w:val="center"/>
          </w:tcPr>
          <w:p w14:paraId="54C0A345" w14:textId="77777777" w:rsidR="00C1273C" w:rsidRDefault="00000000">
            <w:pPr>
              <w:spacing w:after="0" w:line="259" w:lineRule="auto"/>
              <w:ind w:left="0" w:firstLine="0"/>
              <w:jc w:val="center"/>
            </w:pPr>
            <w:r>
              <w:rPr>
                <w:color w:val="000000"/>
              </w:rPr>
              <w:t xml:space="preserve">Proportionnalité des normes sanitaires </w:t>
            </w:r>
          </w:p>
        </w:tc>
        <w:tc>
          <w:tcPr>
            <w:tcW w:w="2960" w:type="dxa"/>
            <w:tcBorders>
              <w:top w:val="single" w:sz="22" w:space="0" w:color="FFFFFF"/>
              <w:left w:val="single" w:sz="4" w:space="0" w:color="CBD5E0"/>
              <w:bottom w:val="single" w:sz="4" w:space="0" w:color="CBD5E0"/>
              <w:right w:val="single" w:sz="4" w:space="0" w:color="CBD5E0"/>
            </w:tcBorders>
            <w:vAlign w:val="center"/>
          </w:tcPr>
          <w:p w14:paraId="7D4465E1" w14:textId="77777777" w:rsidR="00C1273C" w:rsidRDefault="00000000">
            <w:pPr>
              <w:spacing w:after="0" w:line="259" w:lineRule="auto"/>
              <w:ind w:left="0" w:firstLine="0"/>
              <w:jc w:val="center"/>
            </w:pPr>
            <w:r>
              <w:rPr>
                <w:color w:val="000000"/>
              </w:rPr>
              <w:t xml:space="preserve">Règlement CE 852/2004 — Code rural </w:t>
            </w:r>
          </w:p>
        </w:tc>
        <w:tc>
          <w:tcPr>
            <w:tcW w:w="3498" w:type="dxa"/>
            <w:tcBorders>
              <w:top w:val="single" w:sz="22" w:space="0" w:color="FFFFFF"/>
              <w:left w:val="single" w:sz="4" w:space="0" w:color="CBD5E0"/>
              <w:bottom w:val="single" w:sz="4" w:space="0" w:color="CBD5E0"/>
              <w:right w:val="single" w:sz="4" w:space="0" w:color="CBD5E0"/>
            </w:tcBorders>
            <w:vAlign w:val="center"/>
          </w:tcPr>
          <w:p w14:paraId="44056472" w14:textId="77777777" w:rsidR="00C1273C" w:rsidRDefault="00000000">
            <w:pPr>
              <w:spacing w:after="0" w:line="259" w:lineRule="auto"/>
              <w:ind w:left="0" w:firstLine="0"/>
              <w:jc w:val="center"/>
            </w:pPr>
            <w:r>
              <w:rPr>
                <w:color w:val="000000"/>
              </w:rPr>
              <w:t xml:space="preserve">Permettre les petites productions sans déréguler </w:t>
            </w:r>
          </w:p>
        </w:tc>
      </w:tr>
      <w:tr w:rsidR="00C1273C" w14:paraId="365C517F" w14:textId="77777777">
        <w:trPr>
          <w:trHeight w:val="697"/>
        </w:trPr>
        <w:tc>
          <w:tcPr>
            <w:tcW w:w="299" w:type="dxa"/>
            <w:tcBorders>
              <w:top w:val="single" w:sz="4" w:space="0" w:color="CBD5E0"/>
              <w:left w:val="single" w:sz="4" w:space="0" w:color="CBD5E0"/>
              <w:bottom w:val="single" w:sz="22" w:space="0" w:color="FFFFFF"/>
              <w:right w:val="single" w:sz="4" w:space="0" w:color="CBD5E0"/>
            </w:tcBorders>
            <w:shd w:val="clear" w:color="auto" w:fill="F7F8FA"/>
          </w:tcPr>
          <w:p w14:paraId="64DEED87" w14:textId="77777777" w:rsidR="00C1273C" w:rsidRDefault="00000000">
            <w:pPr>
              <w:spacing w:after="0" w:line="259" w:lineRule="auto"/>
              <w:ind w:left="0" w:firstLine="0"/>
            </w:pPr>
            <w:r>
              <w:rPr>
                <w:color w:val="000000"/>
              </w:rPr>
              <w:lastRenderedPageBreak/>
              <w:t xml:space="preserve">6 </w:t>
            </w:r>
          </w:p>
        </w:tc>
        <w:tc>
          <w:tcPr>
            <w:tcW w:w="2501" w:type="dxa"/>
            <w:tcBorders>
              <w:top w:val="single" w:sz="4" w:space="0" w:color="CBD5E0"/>
              <w:left w:val="single" w:sz="4" w:space="0" w:color="CBD5E0"/>
              <w:bottom w:val="single" w:sz="22" w:space="0" w:color="FFFFFF"/>
              <w:right w:val="single" w:sz="4" w:space="0" w:color="CBD5E0"/>
            </w:tcBorders>
            <w:shd w:val="clear" w:color="auto" w:fill="F7F8FA"/>
            <w:vAlign w:val="center"/>
          </w:tcPr>
          <w:p w14:paraId="574B2E08" w14:textId="77777777" w:rsidR="00C1273C" w:rsidRDefault="00000000">
            <w:pPr>
              <w:spacing w:after="0" w:line="259" w:lineRule="auto"/>
              <w:ind w:left="0" w:right="5" w:firstLine="0"/>
              <w:jc w:val="center"/>
            </w:pPr>
            <w:r>
              <w:rPr>
                <w:color w:val="000000"/>
              </w:rPr>
              <w:t xml:space="preserve">Alimentation dans la santé publique </w:t>
            </w:r>
          </w:p>
        </w:tc>
        <w:tc>
          <w:tcPr>
            <w:tcW w:w="2960" w:type="dxa"/>
            <w:tcBorders>
              <w:top w:val="single" w:sz="4" w:space="0" w:color="CBD5E0"/>
              <w:left w:val="single" w:sz="4" w:space="0" w:color="CBD5E0"/>
              <w:bottom w:val="single" w:sz="22" w:space="0" w:color="FFFFFF"/>
              <w:right w:val="single" w:sz="4" w:space="0" w:color="CBD5E0"/>
            </w:tcBorders>
            <w:shd w:val="clear" w:color="auto" w:fill="F7F8FA"/>
            <w:vAlign w:val="center"/>
          </w:tcPr>
          <w:p w14:paraId="7A31C883" w14:textId="77777777" w:rsidR="00C1273C" w:rsidRDefault="00000000">
            <w:pPr>
              <w:spacing w:after="0" w:line="259" w:lineRule="auto"/>
              <w:ind w:left="0" w:firstLine="0"/>
              <w:jc w:val="center"/>
            </w:pPr>
            <w:r>
              <w:rPr>
                <w:color w:val="000000"/>
              </w:rPr>
              <w:t xml:space="preserve">Code santé — Plans régionaux ARS — SNANC 2026 </w:t>
            </w:r>
          </w:p>
        </w:tc>
        <w:tc>
          <w:tcPr>
            <w:tcW w:w="3498" w:type="dxa"/>
            <w:tcBorders>
              <w:top w:val="single" w:sz="4" w:space="0" w:color="CBD5E0"/>
              <w:left w:val="single" w:sz="4" w:space="0" w:color="CBD5E0"/>
              <w:bottom w:val="single" w:sz="22" w:space="0" w:color="FFFFFF"/>
              <w:right w:val="single" w:sz="4" w:space="0" w:color="CBD5E0"/>
            </w:tcBorders>
            <w:shd w:val="clear" w:color="auto" w:fill="F7F8FA"/>
            <w:vAlign w:val="center"/>
          </w:tcPr>
          <w:p w14:paraId="62E64119" w14:textId="77777777" w:rsidR="00C1273C" w:rsidRDefault="00000000">
            <w:pPr>
              <w:spacing w:after="0" w:line="259" w:lineRule="auto"/>
              <w:ind w:left="0" w:firstLine="0"/>
              <w:jc w:val="center"/>
            </w:pPr>
            <w:r>
              <w:rPr>
                <w:color w:val="000000"/>
              </w:rPr>
              <w:t xml:space="preserve">Transformer la dépense curative en investissement préventif </w:t>
            </w:r>
          </w:p>
        </w:tc>
      </w:tr>
      <w:tr w:rsidR="00C1273C" w14:paraId="0DBB5E10" w14:textId="77777777">
        <w:trPr>
          <w:trHeight w:val="697"/>
        </w:trPr>
        <w:tc>
          <w:tcPr>
            <w:tcW w:w="299" w:type="dxa"/>
            <w:tcBorders>
              <w:top w:val="single" w:sz="22" w:space="0" w:color="FFFFFF"/>
              <w:left w:val="single" w:sz="4" w:space="0" w:color="CBD5E0"/>
              <w:bottom w:val="single" w:sz="4" w:space="0" w:color="CBD5E0"/>
              <w:right w:val="single" w:sz="4" w:space="0" w:color="CBD5E0"/>
            </w:tcBorders>
          </w:tcPr>
          <w:p w14:paraId="0EAF40D1" w14:textId="77777777" w:rsidR="00C1273C" w:rsidRDefault="00000000">
            <w:pPr>
              <w:spacing w:after="0" w:line="259" w:lineRule="auto"/>
              <w:ind w:left="0" w:firstLine="0"/>
            </w:pPr>
            <w:r>
              <w:rPr>
                <w:color w:val="000000"/>
              </w:rPr>
              <w:t xml:space="preserve">7 </w:t>
            </w:r>
          </w:p>
        </w:tc>
        <w:tc>
          <w:tcPr>
            <w:tcW w:w="2501" w:type="dxa"/>
            <w:tcBorders>
              <w:top w:val="single" w:sz="22" w:space="0" w:color="FFFFFF"/>
              <w:left w:val="single" w:sz="4" w:space="0" w:color="CBD5E0"/>
              <w:bottom w:val="single" w:sz="4" w:space="0" w:color="CBD5E0"/>
              <w:right w:val="single" w:sz="4" w:space="0" w:color="CBD5E0"/>
            </w:tcBorders>
            <w:vAlign w:val="center"/>
          </w:tcPr>
          <w:p w14:paraId="745656EF" w14:textId="77777777" w:rsidR="00C1273C" w:rsidRDefault="00000000">
            <w:pPr>
              <w:spacing w:after="0" w:line="259" w:lineRule="auto"/>
              <w:ind w:left="0" w:firstLine="0"/>
              <w:jc w:val="center"/>
            </w:pPr>
            <w:r>
              <w:rPr>
                <w:color w:val="000000"/>
              </w:rPr>
              <w:t xml:space="preserve">Référentiel national de mesure d'impact </w:t>
            </w:r>
          </w:p>
        </w:tc>
        <w:tc>
          <w:tcPr>
            <w:tcW w:w="2960" w:type="dxa"/>
            <w:tcBorders>
              <w:top w:val="single" w:sz="22" w:space="0" w:color="FFFFFF"/>
              <w:left w:val="single" w:sz="4" w:space="0" w:color="CBD5E0"/>
              <w:bottom w:val="single" w:sz="4" w:space="0" w:color="CBD5E0"/>
              <w:right w:val="single" w:sz="4" w:space="0" w:color="CBD5E0"/>
            </w:tcBorders>
            <w:vAlign w:val="center"/>
          </w:tcPr>
          <w:p w14:paraId="2F51F3D4" w14:textId="77777777" w:rsidR="00C1273C" w:rsidRDefault="00000000">
            <w:pPr>
              <w:spacing w:after="0" w:line="259" w:lineRule="auto"/>
              <w:ind w:left="0" w:right="28" w:firstLine="0"/>
              <w:jc w:val="center"/>
            </w:pPr>
            <w:r>
              <w:rPr>
                <w:color w:val="000000"/>
              </w:rPr>
              <w:t xml:space="preserve">LOLF — Baromètre résultats de l'action publique </w:t>
            </w:r>
          </w:p>
        </w:tc>
        <w:tc>
          <w:tcPr>
            <w:tcW w:w="3498" w:type="dxa"/>
            <w:tcBorders>
              <w:top w:val="single" w:sz="22" w:space="0" w:color="FFFFFF"/>
              <w:left w:val="single" w:sz="4" w:space="0" w:color="CBD5E0"/>
              <w:bottom w:val="single" w:sz="4" w:space="0" w:color="CBD5E0"/>
              <w:right w:val="single" w:sz="4" w:space="0" w:color="CBD5E0"/>
            </w:tcBorders>
            <w:vAlign w:val="center"/>
          </w:tcPr>
          <w:p w14:paraId="7603E028" w14:textId="77777777" w:rsidR="00C1273C" w:rsidRDefault="00000000">
            <w:pPr>
              <w:spacing w:after="0" w:line="259" w:lineRule="auto"/>
              <w:ind w:left="0" w:firstLine="0"/>
              <w:jc w:val="center"/>
            </w:pPr>
            <w:r>
              <w:rPr>
                <w:color w:val="000000"/>
              </w:rPr>
              <w:t xml:space="preserve">Piloter par la preuve — un territoire, un tableau de bord </w:t>
            </w:r>
          </w:p>
        </w:tc>
      </w:tr>
      <w:tr w:rsidR="00C1273C" w14:paraId="4ED8ED80" w14:textId="77777777">
        <w:trPr>
          <w:trHeight w:val="942"/>
        </w:trPr>
        <w:tc>
          <w:tcPr>
            <w:tcW w:w="299" w:type="dxa"/>
            <w:tcBorders>
              <w:top w:val="single" w:sz="4" w:space="0" w:color="CBD5E0"/>
              <w:left w:val="single" w:sz="4" w:space="0" w:color="CBD5E0"/>
              <w:bottom w:val="single" w:sz="4" w:space="0" w:color="CBD5E0"/>
              <w:right w:val="single" w:sz="4" w:space="0" w:color="CBD5E0"/>
            </w:tcBorders>
            <w:shd w:val="clear" w:color="auto" w:fill="F7F8FA"/>
          </w:tcPr>
          <w:p w14:paraId="68144548" w14:textId="77777777" w:rsidR="00C1273C" w:rsidRDefault="00000000">
            <w:pPr>
              <w:spacing w:after="0" w:line="259" w:lineRule="auto"/>
              <w:ind w:left="0" w:firstLine="0"/>
            </w:pPr>
            <w:r>
              <w:rPr>
                <w:color w:val="000000"/>
              </w:rPr>
              <w:t xml:space="preserve">8 </w:t>
            </w:r>
          </w:p>
        </w:tc>
        <w:tc>
          <w:tcPr>
            <w:tcW w:w="2501" w:type="dxa"/>
            <w:tcBorders>
              <w:top w:val="single" w:sz="4" w:space="0" w:color="CBD5E0"/>
              <w:left w:val="single" w:sz="4" w:space="0" w:color="CBD5E0"/>
              <w:bottom w:val="single" w:sz="4" w:space="0" w:color="CBD5E0"/>
              <w:right w:val="single" w:sz="4" w:space="0" w:color="CBD5E0"/>
            </w:tcBorders>
            <w:shd w:val="clear" w:color="auto" w:fill="F7F8FA"/>
          </w:tcPr>
          <w:p w14:paraId="6CB2C135" w14:textId="77777777" w:rsidR="00C1273C" w:rsidRDefault="00000000">
            <w:pPr>
              <w:spacing w:after="0" w:line="259" w:lineRule="auto"/>
              <w:ind w:left="0" w:right="9" w:firstLine="0"/>
              <w:jc w:val="center"/>
            </w:pPr>
            <w:r>
              <w:rPr>
                <w:color w:val="000000"/>
              </w:rPr>
              <w:t xml:space="preserve">Formation à la subsidiarité et à la congruence </w:t>
            </w:r>
          </w:p>
        </w:tc>
        <w:tc>
          <w:tcPr>
            <w:tcW w:w="2960" w:type="dxa"/>
            <w:tcBorders>
              <w:top w:val="single" w:sz="4" w:space="0" w:color="CBD5E0"/>
              <w:left w:val="single" w:sz="4" w:space="0" w:color="CBD5E0"/>
              <w:bottom w:val="single" w:sz="4" w:space="0" w:color="CBD5E0"/>
              <w:right w:val="single" w:sz="4" w:space="0" w:color="CBD5E0"/>
            </w:tcBorders>
            <w:shd w:val="clear" w:color="auto" w:fill="F7F8FA"/>
          </w:tcPr>
          <w:p w14:paraId="20AAF73B" w14:textId="77777777" w:rsidR="00C1273C" w:rsidRDefault="00000000">
            <w:pPr>
              <w:spacing w:after="0" w:line="259" w:lineRule="auto"/>
              <w:ind w:left="0" w:firstLine="0"/>
              <w:jc w:val="center"/>
            </w:pPr>
            <w:r>
              <w:rPr>
                <w:color w:val="000000"/>
              </w:rPr>
              <w:t xml:space="preserve">IRP × Audencia </w:t>
            </w:r>
            <w:proofErr w:type="spellStart"/>
            <w:r>
              <w:rPr>
                <w:color w:val="000000"/>
              </w:rPr>
              <w:t>Executive</w:t>
            </w:r>
            <w:proofErr w:type="spellEnd"/>
            <w:r>
              <w:rPr>
                <w:color w:val="000000"/>
              </w:rPr>
              <w:t xml:space="preserve"> Master — INSP — IRA </w:t>
            </w:r>
          </w:p>
        </w:tc>
        <w:tc>
          <w:tcPr>
            <w:tcW w:w="3498" w:type="dxa"/>
            <w:tcBorders>
              <w:top w:val="single" w:sz="4" w:space="0" w:color="CBD5E0"/>
              <w:left w:val="single" w:sz="4" w:space="0" w:color="CBD5E0"/>
              <w:bottom w:val="single" w:sz="4" w:space="0" w:color="CBD5E0"/>
              <w:right w:val="single" w:sz="4" w:space="0" w:color="CBD5E0"/>
            </w:tcBorders>
            <w:shd w:val="clear" w:color="auto" w:fill="F7F8FA"/>
          </w:tcPr>
          <w:p w14:paraId="59DB5857" w14:textId="77777777" w:rsidR="00C1273C" w:rsidRDefault="00000000">
            <w:pPr>
              <w:spacing w:after="0" w:line="259" w:lineRule="auto"/>
              <w:ind w:left="0" w:firstLine="0"/>
              <w:jc w:val="center"/>
            </w:pPr>
            <w:r>
              <w:rPr>
                <w:color w:val="000000"/>
              </w:rPr>
              <w:t xml:space="preserve">Forger des décideurs systémiques, pas des gestionnaires sectoriels </w:t>
            </w:r>
          </w:p>
        </w:tc>
      </w:tr>
    </w:tbl>
    <w:p w14:paraId="731C36EA" w14:textId="77777777" w:rsidR="00C1273C" w:rsidRDefault="00000000">
      <w:pPr>
        <w:spacing w:after="158" w:line="259" w:lineRule="auto"/>
        <w:ind w:left="58" w:firstLine="0"/>
        <w:jc w:val="center"/>
      </w:pPr>
      <w:r>
        <w:rPr>
          <w:color w:val="000000"/>
        </w:rPr>
        <w:t xml:space="preserve"> </w:t>
      </w:r>
    </w:p>
    <w:p w14:paraId="1C73B309" w14:textId="77777777" w:rsidR="00C1273C" w:rsidRDefault="00000000">
      <w:pPr>
        <w:pBdr>
          <w:top w:val="single" w:sz="4" w:space="0" w:color="1B3A6B"/>
          <w:left w:val="single" w:sz="4" w:space="0" w:color="1B3A6B"/>
          <w:bottom w:val="single" w:sz="4" w:space="0" w:color="1B3A6B"/>
          <w:right w:val="single" w:sz="4" w:space="0" w:color="1B3A6B"/>
        </w:pBdr>
        <w:shd w:val="clear" w:color="auto" w:fill="EBF0F9"/>
        <w:spacing w:after="19" w:line="259" w:lineRule="auto"/>
        <w:ind w:left="37" w:right="240" w:firstLine="0"/>
        <w:jc w:val="center"/>
      </w:pPr>
      <w:r>
        <w:rPr>
          <w:b/>
          <w:color w:val="000000"/>
        </w:rPr>
        <w:t>Logique d'ensemble</w:t>
      </w:r>
      <w:r>
        <w:rPr>
          <w:color w:val="000000"/>
        </w:rPr>
        <w:t xml:space="preserve"> </w:t>
      </w:r>
    </w:p>
    <w:p w14:paraId="1DA815D8" w14:textId="77777777" w:rsidR="00C1273C" w:rsidRDefault="00000000">
      <w:pPr>
        <w:pBdr>
          <w:top w:val="single" w:sz="4" w:space="0" w:color="1B3A6B"/>
          <w:left w:val="single" w:sz="4" w:space="0" w:color="1B3A6B"/>
          <w:bottom w:val="single" w:sz="4" w:space="0" w:color="1B3A6B"/>
          <w:right w:val="single" w:sz="4" w:space="0" w:color="1B3A6B"/>
        </w:pBdr>
        <w:shd w:val="clear" w:color="auto" w:fill="EBF0F9"/>
        <w:spacing w:after="16" w:line="259" w:lineRule="auto"/>
        <w:ind w:left="37" w:right="240" w:firstLine="0"/>
        <w:jc w:val="right"/>
      </w:pPr>
      <w:r>
        <w:rPr>
          <w:color w:val="000000"/>
        </w:rPr>
        <w:t xml:space="preserve">→ De politiques alimentaires cloisonnées à une action publique congruente et subsidiaire. </w:t>
      </w:r>
    </w:p>
    <w:p w14:paraId="545AD470" w14:textId="77777777" w:rsidR="00C1273C" w:rsidRDefault="00000000">
      <w:pPr>
        <w:pBdr>
          <w:top w:val="single" w:sz="4" w:space="0" w:color="1B3A6B"/>
          <w:left w:val="single" w:sz="4" w:space="0" w:color="1B3A6B"/>
          <w:bottom w:val="single" w:sz="4" w:space="0" w:color="1B3A6B"/>
          <w:right w:val="single" w:sz="4" w:space="0" w:color="1B3A6B"/>
        </w:pBdr>
        <w:shd w:val="clear" w:color="auto" w:fill="EBF0F9"/>
        <w:spacing w:after="41" w:line="239" w:lineRule="auto"/>
        <w:ind w:left="37" w:right="240" w:firstLine="0"/>
        <w:jc w:val="center"/>
      </w:pPr>
      <w:r>
        <w:rPr>
          <w:color w:val="000000"/>
        </w:rPr>
        <w:t xml:space="preserve">→ D'une logique de gestion des coûts à une logique de production d'externalités positives mesurables. </w:t>
      </w:r>
    </w:p>
    <w:p w14:paraId="3B94A5C7" w14:textId="77777777" w:rsidR="00C1273C" w:rsidRDefault="00000000">
      <w:pPr>
        <w:pBdr>
          <w:top w:val="single" w:sz="4" w:space="0" w:color="1B3A6B"/>
          <w:left w:val="single" w:sz="4" w:space="0" w:color="1B3A6B"/>
          <w:bottom w:val="single" w:sz="4" w:space="0" w:color="1B3A6B"/>
          <w:right w:val="single" w:sz="4" w:space="0" w:color="1B3A6B"/>
        </w:pBdr>
        <w:shd w:val="clear" w:color="auto" w:fill="EBF0F9"/>
        <w:spacing w:after="158" w:line="259" w:lineRule="auto"/>
        <w:ind w:left="37" w:right="240" w:firstLine="0"/>
      </w:pPr>
      <w:r>
        <w:rPr>
          <w:color w:val="000000"/>
        </w:rPr>
        <w:t xml:space="preserve">→ D'un État qui compense les crises à un État qui organise la résilience territoriale. </w:t>
      </w:r>
    </w:p>
    <w:p w14:paraId="50A89C02" w14:textId="77777777" w:rsidR="00C1273C" w:rsidRDefault="00000000">
      <w:pPr>
        <w:spacing w:after="16" w:line="259" w:lineRule="auto"/>
        <w:ind w:left="58" w:firstLine="0"/>
        <w:jc w:val="center"/>
      </w:pPr>
      <w:r>
        <w:rPr>
          <w:color w:val="000000"/>
        </w:rPr>
        <w:t xml:space="preserve"> </w:t>
      </w:r>
    </w:p>
    <w:p w14:paraId="6F75D4F6" w14:textId="77777777" w:rsidR="00C1273C" w:rsidRDefault="00000000">
      <w:pPr>
        <w:spacing w:after="0" w:line="259" w:lineRule="auto"/>
        <w:ind w:left="0" w:firstLine="0"/>
      </w:pPr>
      <w:r>
        <w:rPr>
          <w:color w:val="000000"/>
        </w:rPr>
        <w:t xml:space="preserve"> </w:t>
      </w:r>
    </w:p>
    <w:sectPr w:rsidR="00C1273C">
      <w:footerReference w:type="even" r:id="rId9"/>
      <w:footerReference w:type="default" r:id="rId10"/>
      <w:footerReference w:type="first" r:id="rId11"/>
      <w:pgSz w:w="11906" w:h="16838"/>
      <w:pgMar w:top="1243" w:right="1209" w:bottom="1568" w:left="1200" w:header="720" w:footer="6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48028" w14:textId="77777777" w:rsidR="008D337D" w:rsidRDefault="008D337D">
      <w:pPr>
        <w:spacing w:after="0" w:line="240" w:lineRule="auto"/>
      </w:pPr>
      <w:r>
        <w:separator/>
      </w:r>
    </w:p>
  </w:endnote>
  <w:endnote w:type="continuationSeparator" w:id="0">
    <w:p w14:paraId="6249432B" w14:textId="77777777" w:rsidR="008D337D" w:rsidRDefault="008D3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CAD4" w14:textId="77777777" w:rsidR="00C1273C" w:rsidRDefault="00000000">
    <w:pPr>
      <w:spacing w:after="812" w:line="259" w:lineRule="auto"/>
      <w:ind w:left="0" w:firstLine="0"/>
    </w:pPr>
    <w:r>
      <w:rPr>
        <w:noProof/>
        <w:color w:val="000000"/>
      </w:rPr>
      <mc:AlternateContent>
        <mc:Choice Requires="wpg">
          <w:drawing>
            <wp:anchor distT="0" distB="0" distL="114300" distR="114300" simplePos="0" relativeHeight="251658240" behindDoc="0" locked="0" layoutInCell="1" allowOverlap="1" wp14:anchorId="75084147" wp14:editId="58BD2F76">
              <wp:simplePos x="0" y="0"/>
              <wp:positionH relativeFrom="page">
                <wp:posOffset>743712</wp:posOffset>
              </wp:positionH>
              <wp:positionV relativeFrom="page">
                <wp:posOffset>10029138</wp:posOffset>
              </wp:positionV>
              <wp:extent cx="6074410" cy="6097"/>
              <wp:effectExtent l="0" t="0" r="0" b="0"/>
              <wp:wrapSquare wrapText="bothSides"/>
              <wp:docPr id="16077" name="Group 16077"/>
              <wp:cNvGraphicFramePr/>
              <a:graphic xmlns:a="http://schemas.openxmlformats.org/drawingml/2006/main">
                <a:graphicData uri="http://schemas.microsoft.com/office/word/2010/wordprocessingGroup">
                  <wpg:wgp>
                    <wpg:cNvGrpSpPr/>
                    <wpg:grpSpPr>
                      <a:xfrm>
                        <a:off x="0" y="0"/>
                        <a:ext cx="6074410" cy="6097"/>
                        <a:chOff x="0" y="0"/>
                        <a:chExt cx="6074410" cy="6097"/>
                      </a:xfrm>
                    </wpg:grpSpPr>
                    <wps:wsp>
                      <wps:cNvPr id="16590" name="Shape 16590"/>
                      <wps:cNvSpPr/>
                      <wps:spPr>
                        <a:xfrm>
                          <a:off x="0" y="0"/>
                          <a:ext cx="6074410" cy="9144"/>
                        </a:xfrm>
                        <a:custGeom>
                          <a:avLst/>
                          <a:gdLst/>
                          <a:ahLst/>
                          <a:cxnLst/>
                          <a:rect l="0" t="0" r="0" b="0"/>
                          <a:pathLst>
                            <a:path w="6074410" h="9144">
                              <a:moveTo>
                                <a:pt x="0" y="0"/>
                              </a:moveTo>
                              <a:lnTo>
                                <a:pt x="6074410" y="0"/>
                              </a:lnTo>
                              <a:lnTo>
                                <a:pt x="6074410" y="9144"/>
                              </a:lnTo>
                              <a:lnTo>
                                <a:pt x="0" y="9144"/>
                              </a:lnTo>
                              <a:lnTo>
                                <a:pt x="0" y="0"/>
                              </a:lnTo>
                            </a:path>
                          </a:pathLst>
                        </a:custGeom>
                        <a:ln w="0" cap="flat">
                          <a:miter lim="127000"/>
                        </a:ln>
                      </wps:spPr>
                      <wps:style>
                        <a:lnRef idx="0">
                          <a:srgbClr val="000000">
                            <a:alpha val="0"/>
                          </a:srgbClr>
                        </a:lnRef>
                        <a:fillRef idx="1">
                          <a:srgbClr val="CBD5E0"/>
                        </a:fillRef>
                        <a:effectRef idx="0">
                          <a:scrgbClr r="0" g="0" b="0"/>
                        </a:effectRef>
                        <a:fontRef idx="none"/>
                      </wps:style>
                      <wps:bodyPr/>
                    </wps:wsp>
                  </wpg:wgp>
                </a:graphicData>
              </a:graphic>
            </wp:anchor>
          </w:drawing>
        </mc:Choice>
        <mc:Fallback xmlns:a="http://schemas.openxmlformats.org/drawingml/2006/main">
          <w:pict>
            <v:group id="Group 16077" style="width:478.3pt;height:0.480042pt;position:absolute;mso-position-horizontal-relative:page;mso-position-horizontal:absolute;margin-left:58.56pt;mso-position-vertical-relative:page;margin-top:789.696pt;" coordsize="60744,60">
              <v:shape id="Shape 16591" style="position:absolute;width:60744;height:91;left:0;top:0;" coordsize="6074410,9144" path="m0,0l6074410,0l6074410,9144l0,9144l0,0">
                <v:stroke weight="0pt" endcap="flat" joinstyle="miter" miterlimit="10" on="false" color="#000000" opacity="0"/>
                <v:fill on="true" color="#cbd5e0"/>
              </v:shape>
              <w10:wrap type="square"/>
            </v:group>
          </w:pict>
        </mc:Fallback>
      </mc:AlternateContent>
    </w:r>
    <w:r>
      <w:rPr>
        <w:color w:val="000000"/>
      </w:rPr>
      <w:t xml:space="preserve"> </w:t>
    </w:r>
  </w:p>
  <w:p w14:paraId="38861828" w14:textId="77777777" w:rsidR="00C1273C" w:rsidRDefault="00000000">
    <w:pPr>
      <w:spacing w:after="0" w:line="259" w:lineRule="auto"/>
      <w:ind w:left="6" w:firstLine="0"/>
      <w:jc w:val="center"/>
    </w:pPr>
    <w:r>
      <w:rPr>
        <w:color w:val="4A5568"/>
        <w:sz w:val="17"/>
      </w:rPr>
      <w:t xml:space="preserve">Les notes — Solutions </w:t>
    </w:r>
    <w:proofErr w:type="gramStart"/>
    <w:r>
      <w:rPr>
        <w:color w:val="4A5568"/>
        <w:sz w:val="17"/>
      </w:rPr>
      <w:t>publiques  n</w:t>
    </w:r>
    <w:proofErr w:type="gramEnd"/>
    <w:r>
      <w:rPr>
        <w:color w:val="4A5568"/>
        <w:sz w:val="17"/>
      </w:rPr>
      <w:t xml:space="preserve">°2   Institut pour la Refondation Publique      </w:t>
    </w:r>
    <w:r>
      <w:fldChar w:fldCharType="begin"/>
    </w:r>
    <w:r>
      <w:instrText xml:space="preserve"> PAGE   \* MERGEFORMAT </w:instrText>
    </w:r>
    <w:r>
      <w:fldChar w:fldCharType="separate"/>
    </w:r>
    <w:r>
      <w:rPr>
        <w:color w:val="4A5568"/>
        <w:sz w:val="17"/>
      </w:rPr>
      <w:t>2</w:t>
    </w:r>
    <w:r>
      <w:rPr>
        <w:color w:val="4A5568"/>
        <w:sz w:val="17"/>
      </w:rP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8BD3" w14:textId="77777777" w:rsidR="00C1273C" w:rsidRDefault="00000000">
    <w:pPr>
      <w:spacing w:after="812" w:line="259" w:lineRule="auto"/>
      <w:ind w:left="0" w:firstLine="0"/>
    </w:pPr>
    <w:r>
      <w:rPr>
        <w:noProof/>
        <w:color w:val="000000"/>
      </w:rPr>
      <mc:AlternateContent>
        <mc:Choice Requires="wpg">
          <w:drawing>
            <wp:anchor distT="0" distB="0" distL="114300" distR="114300" simplePos="0" relativeHeight="251659264" behindDoc="0" locked="0" layoutInCell="1" allowOverlap="1" wp14:anchorId="6CD2A6A5" wp14:editId="684FED8B">
              <wp:simplePos x="0" y="0"/>
              <wp:positionH relativeFrom="page">
                <wp:posOffset>743712</wp:posOffset>
              </wp:positionH>
              <wp:positionV relativeFrom="page">
                <wp:posOffset>10029138</wp:posOffset>
              </wp:positionV>
              <wp:extent cx="6074410" cy="6097"/>
              <wp:effectExtent l="0" t="0" r="0" b="0"/>
              <wp:wrapSquare wrapText="bothSides"/>
              <wp:docPr id="16058" name="Group 16058"/>
              <wp:cNvGraphicFramePr/>
              <a:graphic xmlns:a="http://schemas.openxmlformats.org/drawingml/2006/main">
                <a:graphicData uri="http://schemas.microsoft.com/office/word/2010/wordprocessingGroup">
                  <wpg:wgp>
                    <wpg:cNvGrpSpPr/>
                    <wpg:grpSpPr>
                      <a:xfrm>
                        <a:off x="0" y="0"/>
                        <a:ext cx="6074410" cy="6097"/>
                        <a:chOff x="0" y="0"/>
                        <a:chExt cx="6074410" cy="6097"/>
                      </a:xfrm>
                    </wpg:grpSpPr>
                    <wps:wsp>
                      <wps:cNvPr id="16588" name="Shape 16588"/>
                      <wps:cNvSpPr/>
                      <wps:spPr>
                        <a:xfrm>
                          <a:off x="0" y="0"/>
                          <a:ext cx="6074410" cy="9144"/>
                        </a:xfrm>
                        <a:custGeom>
                          <a:avLst/>
                          <a:gdLst/>
                          <a:ahLst/>
                          <a:cxnLst/>
                          <a:rect l="0" t="0" r="0" b="0"/>
                          <a:pathLst>
                            <a:path w="6074410" h="9144">
                              <a:moveTo>
                                <a:pt x="0" y="0"/>
                              </a:moveTo>
                              <a:lnTo>
                                <a:pt x="6074410" y="0"/>
                              </a:lnTo>
                              <a:lnTo>
                                <a:pt x="6074410" y="9144"/>
                              </a:lnTo>
                              <a:lnTo>
                                <a:pt x="0" y="9144"/>
                              </a:lnTo>
                              <a:lnTo>
                                <a:pt x="0" y="0"/>
                              </a:lnTo>
                            </a:path>
                          </a:pathLst>
                        </a:custGeom>
                        <a:ln w="0" cap="flat">
                          <a:miter lim="127000"/>
                        </a:ln>
                      </wps:spPr>
                      <wps:style>
                        <a:lnRef idx="0">
                          <a:srgbClr val="000000">
                            <a:alpha val="0"/>
                          </a:srgbClr>
                        </a:lnRef>
                        <a:fillRef idx="1">
                          <a:srgbClr val="CBD5E0"/>
                        </a:fillRef>
                        <a:effectRef idx="0">
                          <a:scrgbClr r="0" g="0" b="0"/>
                        </a:effectRef>
                        <a:fontRef idx="none"/>
                      </wps:style>
                      <wps:bodyPr/>
                    </wps:wsp>
                  </wpg:wgp>
                </a:graphicData>
              </a:graphic>
            </wp:anchor>
          </w:drawing>
        </mc:Choice>
        <mc:Fallback xmlns:a="http://schemas.openxmlformats.org/drawingml/2006/main">
          <w:pict>
            <v:group id="Group 16058" style="width:478.3pt;height:0.480042pt;position:absolute;mso-position-horizontal-relative:page;mso-position-horizontal:absolute;margin-left:58.56pt;mso-position-vertical-relative:page;margin-top:789.696pt;" coordsize="60744,60">
              <v:shape id="Shape 16589" style="position:absolute;width:60744;height:91;left:0;top:0;" coordsize="6074410,9144" path="m0,0l6074410,0l6074410,9144l0,9144l0,0">
                <v:stroke weight="0pt" endcap="flat" joinstyle="miter" miterlimit="10" on="false" color="#000000" opacity="0"/>
                <v:fill on="true" color="#cbd5e0"/>
              </v:shape>
              <w10:wrap type="square"/>
            </v:group>
          </w:pict>
        </mc:Fallback>
      </mc:AlternateContent>
    </w:r>
    <w:r>
      <w:rPr>
        <w:color w:val="000000"/>
      </w:rPr>
      <w:t xml:space="preserve"> </w:t>
    </w:r>
  </w:p>
  <w:p w14:paraId="1BACC6F1" w14:textId="77777777" w:rsidR="00C1273C" w:rsidRDefault="00000000">
    <w:pPr>
      <w:spacing w:after="0" w:line="259" w:lineRule="auto"/>
      <w:ind w:left="6" w:firstLine="0"/>
      <w:jc w:val="center"/>
    </w:pPr>
    <w:r>
      <w:rPr>
        <w:color w:val="4A5568"/>
        <w:sz w:val="17"/>
      </w:rPr>
      <w:t xml:space="preserve">Les notes — Solutions </w:t>
    </w:r>
    <w:proofErr w:type="gramStart"/>
    <w:r>
      <w:rPr>
        <w:color w:val="4A5568"/>
        <w:sz w:val="17"/>
      </w:rPr>
      <w:t>publiques  n</w:t>
    </w:r>
    <w:proofErr w:type="gramEnd"/>
    <w:r>
      <w:rPr>
        <w:color w:val="4A5568"/>
        <w:sz w:val="17"/>
      </w:rPr>
      <w:t xml:space="preserve">°2   Institut pour la Refondation Publique      </w:t>
    </w:r>
    <w:r>
      <w:fldChar w:fldCharType="begin"/>
    </w:r>
    <w:r>
      <w:instrText xml:space="preserve"> PAGE   \* MERGEFORMAT </w:instrText>
    </w:r>
    <w:r>
      <w:fldChar w:fldCharType="separate"/>
    </w:r>
    <w:r>
      <w:rPr>
        <w:color w:val="4A5568"/>
        <w:sz w:val="17"/>
      </w:rPr>
      <w:t>2</w:t>
    </w:r>
    <w:r>
      <w:rPr>
        <w:color w:val="4A5568"/>
        <w:sz w:val="17"/>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DBA7" w14:textId="77777777" w:rsidR="00C1273C" w:rsidRDefault="00000000">
    <w:pPr>
      <w:spacing w:after="0" w:line="259" w:lineRule="auto"/>
      <w:ind w:left="6" w:firstLine="0"/>
      <w:jc w:val="center"/>
    </w:pPr>
    <w:r>
      <w:rPr>
        <w:noProof/>
        <w:color w:val="000000"/>
      </w:rPr>
      <mc:AlternateContent>
        <mc:Choice Requires="wpg">
          <w:drawing>
            <wp:anchor distT="0" distB="0" distL="114300" distR="114300" simplePos="0" relativeHeight="251660288" behindDoc="0" locked="0" layoutInCell="1" allowOverlap="1" wp14:anchorId="5D58D306" wp14:editId="33A46BBE">
              <wp:simplePos x="0" y="0"/>
              <wp:positionH relativeFrom="page">
                <wp:posOffset>743712</wp:posOffset>
              </wp:positionH>
              <wp:positionV relativeFrom="page">
                <wp:posOffset>10029138</wp:posOffset>
              </wp:positionV>
              <wp:extent cx="6074410" cy="6097"/>
              <wp:effectExtent l="0" t="0" r="0" b="0"/>
              <wp:wrapSquare wrapText="bothSides"/>
              <wp:docPr id="16050" name="Group 16050"/>
              <wp:cNvGraphicFramePr/>
              <a:graphic xmlns:a="http://schemas.openxmlformats.org/drawingml/2006/main">
                <a:graphicData uri="http://schemas.microsoft.com/office/word/2010/wordprocessingGroup">
                  <wpg:wgp>
                    <wpg:cNvGrpSpPr/>
                    <wpg:grpSpPr>
                      <a:xfrm>
                        <a:off x="0" y="0"/>
                        <a:ext cx="6074410" cy="6097"/>
                        <a:chOff x="0" y="0"/>
                        <a:chExt cx="6074410" cy="6097"/>
                      </a:xfrm>
                    </wpg:grpSpPr>
                    <wps:wsp>
                      <wps:cNvPr id="16586" name="Shape 16586"/>
                      <wps:cNvSpPr/>
                      <wps:spPr>
                        <a:xfrm>
                          <a:off x="0" y="0"/>
                          <a:ext cx="6074410" cy="9144"/>
                        </a:xfrm>
                        <a:custGeom>
                          <a:avLst/>
                          <a:gdLst/>
                          <a:ahLst/>
                          <a:cxnLst/>
                          <a:rect l="0" t="0" r="0" b="0"/>
                          <a:pathLst>
                            <a:path w="6074410" h="9144">
                              <a:moveTo>
                                <a:pt x="0" y="0"/>
                              </a:moveTo>
                              <a:lnTo>
                                <a:pt x="6074410" y="0"/>
                              </a:lnTo>
                              <a:lnTo>
                                <a:pt x="6074410" y="9144"/>
                              </a:lnTo>
                              <a:lnTo>
                                <a:pt x="0" y="9144"/>
                              </a:lnTo>
                              <a:lnTo>
                                <a:pt x="0" y="0"/>
                              </a:lnTo>
                            </a:path>
                          </a:pathLst>
                        </a:custGeom>
                        <a:ln w="0" cap="flat">
                          <a:miter lim="127000"/>
                        </a:ln>
                      </wps:spPr>
                      <wps:style>
                        <a:lnRef idx="0">
                          <a:srgbClr val="000000">
                            <a:alpha val="0"/>
                          </a:srgbClr>
                        </a:lnRef>
                        <a:fillRef idx="1">
                          <a:srgbClr val="CBD5E0"/>
                        </a:fillRef>
                        <a:effectRef idx="0">
                          <a:scrgbClr r="0" g="0" b="0"/>
                        </a:effectRef>
                        <a:fontRef idx="none"/>
                      </wps:style>
                      <wps:bodyPr/>
                    </wps:wsp>
                  </wpg:wgp>
                </a:graphicData>
              </a:graphic>
            </wp:anchor>
          </w:drawing>
        </mc:Choice>
        <mc:Fallback xmlns:a="http://schemas.openxmlformats.org/drawingml/2006/main">
          <w:pict>
            <v:group id="Group 16050" style="width:478.3pt;height:0.480042pt;position:absolute;mso-position-horizontal-relative:page;mso-position-horizontal:absolute;margin-left:58.56pt;mso-position-vertical-relative:page;margin-top:789.696pt;" coordsize="60744,60">
              <v:shape id="Shape 16587" style="position:absolute;width:60744;height:91;left:0;top:0;" coordsize="6074410,9144" path="m0,0l6074410,0l6074410,9144l0,9144l0,0">
                <v:stroke weight="0pt" endcap="flat" joinstyle="miter" miterlimit="10" on="false" color="#000000" opacity="0"/>
                <v:fill on="true" color="#cbd5e0"/>
              </v:shape>
              <w10:wrap type="square"/>
            </v:group>
          </w:pict>
        </mc:Fallback>
      </mc:AlternateContent>
    </w:r>
    <w:r>
      <w:rPr>
        <w:color w:val="4A5568"/>
        <w:sz w:val="17"/>
      </w:rPr>
      <w:t xml:space="preserve">Les notes — Solutions </w:t>
    </w:r>
    <w:proofErr w:type="gramStart"/>
    <w:r>
      <w:rPr>
        <w:color w:val="4A5568"/>
        <w:sz w:val="17"/>
      </w:rPr>
      <w:t>publiques  n</w:t>
    </w:r>
    <w:proofErr w:type="gramEnd"/>
    <w:r>
      <w:rPr>
        <w:color w:val="4A5568"/>
        <w:sz w:val="17"/>
      </w:rPr>
      <w:t xml:space="preserve">°2   Institut pour la Refondation Publique      </w:t>
    </w:r>
    <w:r>
      <w:fldChar w:fldCharType="begin"/>
    </w:r>
    <w:r>
      <w:instrText xml:space="preserve"> PAGE   \* MERGEFORMAT </w:instrText>
    </w:r>
    <w:r>
      <w:fldChar w:fldCharType="separate"/>
    </w:r>
    <w:r>
      <w:rPr>
        <w:color w:val="4A5568"/>
        <w:sz w:val="17"/>
      </w:rPr>
      <w:t>1</w:t>
    </w:r>
    <w:r>
      <w:rPr>
        <w:color w:val="4A5568"/>
        <w:sz w:val="17"/>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E5D5" w14:textId="77777777" w:rsidR="008D337D" w:rsidRDefault="008D337D">
      <w:pPr>
        <w:spacing w:after="0" w:line="240" w:lineRule="auto"/>
      </w:pPr>
      <w:r>
        <w:separator/>
      </w:r>
    </w:p>
  </w:footnote>
  <w:footnote w:type="continuationSeparator" w:id="0">
    <w:p w14:paraId="7A12C39B" w14:textId="77777777" w:rsidR="008D337D" w:rsidRDefault="008D3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C01"/>
    <w:multiLevelType w:val="hybridMultilevel"/>
    <w:tmpl w:val="D62CF304"/>
    <w:lvl w:ilvl="0" w:tplc="6EB20A0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464D1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6E229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DA533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CE5FA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12175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EED0F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E8208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307ED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4216C7"/>
    <w:multiLevelType w:val="hybridMultilevel"/>
    <w:tmpl w:val="2B3C2650"/>
    <w:lvl w:ilvl="0" w:tplc="45728C72">
      <w:start w:val="1"/>
      <w:numFmt w:val="bullet"/>
      <w:lvlText w:val="•"/>
      <w:lvlJc w:val="left"/>
      <w:pPr>
        <w:ind w:left="1"/>
      </w:pPr>
      <w:rPr>
        <w:rFonts w:ascii="Calibri" w:eastAsia="Calibri" w:hAnsi="Calibri" w:cs="Calibri"/>
        <w:b w:val="0"/>
        <w:i w:val="0"/>
        <w:strike w:val="0"/>
        <w:dstrike w:val="0"/>
        <w:color w:val="1A1A1A"/>
        <w:sz w:val="20"/>
        <w:szCs w:val="20"/>
        <w:u w:val="none" w:color="000000"/>
        <w:bdr w:val="none" w:sz="0" w:space="0" w:color="auto"/>
        <w:shd w:val="clear" w:color="auto" w:fill="auto"/>
        <w:vertAlign w:val="baseline"/>
      </w:rPr>
    </w:lvl>
    <w:lvl w:ilvl="1" w:tplc="71344586">
      <w:start w:val="1"/>
      <w:numFmt w:val="bullet"/>
      <w:lvlText w:val="o"/>
      <w:lvlJc w:val="left"/>
      <w:pPr>
        <w:ind w:left="1231"/>
      </w:pPr>
      <w:rPr>
        <w:rFonts w:ascii="Calibri" w:eastAsia="Calibri" w:hAnsi="Calibri" w:cs="Calibri"/>
        <w:b w:val="0"/>
        <w:i w:val="0"/>
        <w:strike w:val="0"/>
        <w:dstrike w:val="0"/>
        <w:color w:val="1A1A1A"/>
        <w:sz w:val="20"/>
        <w:szCs w:val="20"/>
        <w:u w:val="none" w:color="000000"/>
        <w:bdr w:val="none" w:sz="0" w:space="0" w:color="auto"/>
        <w:shd w:val="clear" w:color="auto" w:fill="auto"/>
        <w:vertAlign w:val="baseline"/>
      </w:rPr>
    </w:lvl>
    <w:lvl w:ilvl="2" w:tplc="B410399E">
      <w:start w:val="1"/>
      <w:numFmt w:val="bullet"/>
      <w:lvlText w:val="▪"/>
      <w:lvlJc w:val="left"/>
      <w:pPr>
        <w:ind w:left="1951"/>
      </w:pPr>
      <w:rPr>
        <w:rFonts w:ascii="Calibri" w:eastAsia="Calibri" w:hAnsi="Calibri" w:cs="Calibri"/>
        <w:b w:val="0"/>
        <w:i w:val="0"/>
        <w:strike w:val="0"/>
        <w:dstrike w:val="0"/>
        <w:color w:val="1A1A1A"/>
        <w:sz w:val="20"/>
        <w:szCs w:val="20"/>
        <w:u w:val="none" w:color="000000"/>
        <w:bdr w:val="none" w:sz="0" w:space="0" w:color="auto"/>
        <w:shd w:val="clear" w:color="auto" w:fill="auto"/>
        <w:vertAlign w:val="baseline"/>
      </w:rPr>
    </w:lvl>
    <w:lvl w:ilvl="3" w:tplc="CDA2666E">
      <w:start w:val="1"/>
      <w:numFmt w:val="bullet"/>
      <w:lvlText w:val="•"/>
      <w:lvlJc w:val="left"/>
      <w:pPr>
        <w:ind w:left="2671"/>
      </w:pPr>
      <w:rPr>
        <w:rFonts w:ascii="Calibri" w:eastAsia="Calibri" w:hAnsi="Calibri" w:cs="Calibri"/>
        <w:b w:val="0"/>
        <w:i w:val="0"/>
        <w:strike w:val="0"/>
        <w:dstrike w:val="0"/>
        <w:color w:val="1A1A1A"/>
        <w:sz w:val="20"/>
        <w:szCs w:val="20"/>
        <w:u w:val="none" w:color="000000"/>
        <w:bdr w:val="none" w:sz="0" w:space="0" w:color="auto"/>
        <w:shd w:val="clear" w:color="auto" w:fill="auto"/>
        <w:vertAlign w:val="baseline"/>
      </w:rPr>
    </w:lvl>
    <w:lvl w:ilvl="4" w:tplc="E39C8D02">
      <w:start w:val="1"/>
      <w:numFmt w:val="bullet"/>
      <w:lvlText w:val="o"/>
      <w:lvlJc w:val="left"/>
      <w:pPr>
        <w:ind w:left="3391"/>
      </w:pPr>
      <w:rPr>
        <w:rFonts w:ascii="Calibri" w:eastAsia="Calibri" w:hAnsi="Calibri" w:cs="Calibri"/>
        <w:b w:val="0"/>
        <w:i w:val="0"/>
        <w:strike w:val="0"/>
        <w:dstrike w:val="0"/>
        <w:color w:val="1A1A1A"/>
        <w:sz w:val="20"/>
        <w:szCs w:val="20"/>
        <w:u w:val="none" w:color="000000"/>
        <w:bdr w:val="none" w:sz="0" w:space="0" w:color="auto"/>
        <w:shd w:val="clear" w:color="auto" w:fill="auto"/>
        <w:vertAlign w:val="baseline"/>
      </w:rPr>
    </w:lvl>
    <w:lvl w:ilvl="5" w:tplc="0FFA65C4">
      <w:start w:val="1"/>
      <w:numFmt w:val="bullet"/>
      <w:lvlText w:val="▪"/>
      <w:lvlJc w:val="left"/>
      <w:pPr>
        <w:ind w:left="4111"/>
      </w:pPr>
      <w:rPr>
        <w:rFonts w:ascii="Calibri" w:eastAsia="Calibri" w:hAnsi="Calibri" w:cs="Calibri"/>
        <w:b w:val="0"/>
        <w:i w:val="0"/>
        <w:strike w:val="0"/>
        <w:dstrike w:val="0"/>
        <w:color w:val="1A1A1A"/>
        <w:sz w:val="20"/>
        <w:szCs w:val="20"/>
        <w:u w:val="none" w:color="000000"/>
        <w:bdr w:val="none" w:sz="0" w:space="0" w:color="auto"/>
        <w:shd w:val="clear" w:color="auto" w:fill="auto"/>
        <w:vertAlign w:val="baseline"/>
      </w:rPr>
    </w:lvl>
    <w:lvl w:ilvl="6" w:tplc="7408DE66">
      <w:start w:val="1"/>
      <w:numFmt w:val="bullet"/>
      <w:lvlText w:val="•"/>
      <w:lvlJc w:val="left"/>
      <w:pPr>
        <w:ind w:left="4831"/>
      </w:pPr>
      <w:rPr>
        <w:rFonts w:ascii="Calibri" w:eastAsia="Calibri" w:hAnsi="Calibri" w:cs="Calibri"/>
        <w:b w:val="0"/>
        <w:i w:val="0"/>
        <w:strike w:val="0"/>
        <w:dstrike w:val="0"/>
        <w:color w:val="1A1A1A"/>
        <w:sz w:val="20"/>
        <w:szCs w:val="20"/>
        <w:u w:val="none" w:color="000000"/>
        <w:bdr w:val="none" w:sz="0" w:space="0" w:color="auto"/>
        <w:shd w:val="clear" w:color="auto" w:fill="auto"/>
        <w:vertAlign w:val="baseline"/>
      </w:rPr>
    </w:lvl>
    <w:lvl w:ilvl="7" w:tplc="9AA07C72">
      <w:start w:val="1"/>
      <w:numFmt w:val="bullet"/>
      <w:lvlText w:val="o"/>
      <w:lvlJc w:val="left"/>
      <w:pPr>
        <w:ind w:left="5551"/>
      </w:pPr>
      <w:rPr>
        <w:rFonts w:ascii="Calibri" w:eastAsia="Calibri" w:hAnsi="Calibri" w:cs="Calibri"/>
        <w:b w:val="0"/>
        <w:i w:val="0"/>
        <w:strike w:val="0"/>
        <w:dstrike w:val="0"/>
        <w:color w:val="1A1A1A"/>
        <w:sz w:val="20"/>
        <w:szCs w:val="20"/>
        <w:u w:val="none" w:color="000000"/>
        <w:bdr w:val="none" w:sz="0" w:space="0" w:color="auto"/>
        <w:shd w:val="clear" w:color="auto" w:fill="auto"/>
        <w:vertAlign w:val="baseline"/>
      </w:rPr>
    </w:lvl>
    <w:lvl w:ilvl="8" w:tplc="B8CA970C">
      <w:start w:val="1"/>
      <w:numFmt w:val="bullet"/>
      <w:lvlText w:val="▪"/>
      <w:lvlJc w:val="left"/>
      <w:pPr>
        <w:ind w:left="6271"/>
      </w:pPr>
      <w:rPr>
        <w:rFonts w:ascii="Calibri" w:eastAsia="Calibri" w:hAnsi="Calibri" w:cs="Calibri"/>
        <w:b w:val="0"/>
        <w:i w:val="0"/>
        <w:strike w:val="0"/>
        <w:dstrike w:val="0"/>
        <w:color w:val="1A1A1A"/>
        <w:sz w:val="20"/>
        <w:szCs w:val="20"/>
        <w:u w:val="none" w:color="000000"/>
        <w:bdr w:val="none" w:sz="0" w:space="0" w:color="auto"/>
        <w:shd w:val="clear" w:color="auto" w:fill="auto"/>
        <w:vertAlign w:val="baseline"/>
      </w:rPr>
    </w:lvl>
  </w:abstractNum>
  <w:abstractNum w:abstractNumId="2" w15:restartNumberingAfterBreak="0">
    <w:nsid w:val="407E6485"/>
    <w:multiLevelType w:val="hybridMultilevel"/>
    <w:tmpl w:val="33FE1F82"/>
    <w:lvl w:ilvl="0" w:tplc="3E803B94">
      <w:start w:val="1"/>
      <w:numFmt w:val="bullet"/>
      <w:lvlText w:val="•"/>
      <w:lvlJc w:val="left"/>
      <w:pPr>
        <w:ind w:left="0"/>
      </w:pPr>
      <w:rPr>
        <w:rFonts w:ascii="Calibri" w:eastAsia="Calibri" w:hAnsi="Calibri" w:cs="Calibri"/>
        <w:b w:val="0"/>
        <w:i w:val="0"/>
        <w:strike w:val="0"/>
        <w:dstrike w:val="0"/>
        <w:color w:val="1A1A1A"/>
        <w:sz w:val="20"/>
        <w:szCs w:val="20"/>
        <w:u w:val="none" w:color="000000"/>
        <w:bdr w:val="none" w:sz="0" w:space="0" w:color="auto"/>
        <w:shd w:val="clear" w:color="auto" w:fill="auto"/>
        <w:vertAlign w:val="baseline"/>
      </w:rPr>
    </w:lvl>
    <w:lvl w:ilvl="1" w:tplc="EB28FD1C">
      <w:start w:val="1"/>
      <w:numFmt w:val="bullet"/>
      <w:lvlText w:val="o"/>
      <w:lvlJc w:val="left"/>
      <w:pPr>
        <w:ind w:left="1230"/>
      </w:pPr>
      <w:rPr>
        <w:rFonts w:ascii="Calibri" w:eastAsia="Calibri" w:hAnsi="Calibri" w:cs="Calibri"/>
        <w:b w:val="0"/>
        <w:i w:val="0"/>
        <w:strike w:val="0"/>
        <w:dstrike w:val="0"/>
        <w:color w:val="1A1A1A"/>
        <w:sz w:val="20"/>
        <w:szCs w:val="20"/>
        <w:u w:val="none" w:color="000000"/>
        <w:bdr w:val="none" w:sz="0" w:space="0" w:color="auto"/>
        <w:shd w:val="clear" w:color="auto" w:fill="auto"/>
        <w:vertAlign w:val="baseline"/>
      </w:rPr>
    </w:lvl>
    <w:lvl w:ilvl="2" w:tplc="9DA67DF0">
      <w:start w:val="1"/>
      <w:numFmt w:val="bullet"/>
      <w:lvlText w:val="▪"/>
      <w:lvlJc w:val="left"/>
      <w:pPr>
        <w:ind w:left="1950"/>
      </w:pPr>
      <w:rPr>
        <w:rFonts w:ascii="Calibri" w:eastAsia="Calibri" w:hAnsi="Calibri" w:cs="Calibri"/>
        <w:b w:val="0"/>
        <w:i w:val="0"/>
        <w:strike w:val="0"/>
        <w:dstrike w:val="0"/>
        <w:color w:val="1A1A1A"/>
        <w:sz w:val="20"/>
        <w:szCs w:val="20"/>
        <w:u w:val="none" w:color="000000"/>
        <w:bdr w:val="none" w:sz="0" w:space="0" w:color="auto"/>
        <w:shd w:val="clear" w:color="auto" w:fill="auto"/>
        <w:vertAlign w:val="baseline"/>
      </w:rPr>
    </w:lvl>
    <w:lvl w:ilvl="3" w:tplc="C8A4B98A">
      <w:start w:val="1"/>
      <w:numFmt w:val="bullet"/>
      <w:lvlText w:val="•"/>
      <w:lvlJc w:val="left"/>
      <w:pPr>
        <w:ind w:left="2670"/>
      </w:pPr>
      <w:rPr>
        <w:rFonts w:ascii="Calibri" w:eastAsia="Calibri" w:hAnsi="Calibri" w:cs="Calibri"/>
        <w:b w:val="0"/>
        <w:i w:val="0"/>
        <w:strike w:val="0"/>
        <w:dstrike w:val="0"/>
        <w:color w:val="1A1A1A"/>
        <w:sz w:val="20"/>
        <w:szCs w:val="20"/>
        <w:u w:val="none" w:color="000000"/>
        <w:bdr w:val="none" w:sz="0" w:space="0" w:color="auto"/>
        <w:shd w:val="clear" w:color="auto" w:fill="auto"/>
        <w:vertAlign w:val="baseline"/>
      </w:rPr>
    </w:lvl>
    <w:lvl w:ilvl="4" w:tplc="928ECEEE">
      <w:start w:val="1"/>
      <w:numFmt w:val="bullet"/>
      <w:lvlText w:val="o"/>
      <w:lvlJc w:val="left"/>
      <w:pPr>
        <w:ind w:left="3390"/>
      </w:pPr>
      <w:rPr>
        <w:rFonts w:ascii="Calibri" w:eastAsia="Calibri" w:hAnsi="Calibri" w:cs="Calibri"/>
        <w:b w:val="0"/>
        <w:i w:val="0"/>
        <w:strike w:val="0"/>
        <w:dstrike w:val="0"/>
        <w:color w:val="1A1A1A"/>
        <w:sz w:val="20"/>
        <w:szCs w:val="20"/>
        <w:u w:val="none" w:color="000000"/>
        <w:bdr w:val="none" w:sz="0" w:space="0" w:color="auto"/>
        <w:shd w:val="clear" w:color="auto" w:fill="auto"/>
        <w:vertAlign w:val="baseline"/>
      </w:rPr>
    </w:lvl>
    <w:lvl w:ilvl="5" w:tplc="2244DAC8">
      <w:start w:val="1"/>
      <w:numFmt w:val="bullet"/>
      <w:lvlText w:val="▪"/>
      <w:lvlJc w:val="left"/>
      <w:pPr>
        <w:ind w:left="4110"/>
      </w:pPr>
      <w:rPr>
        <w:rFonts w:ascii="Calibri" w:eastAsia="Calibri" w:hAnsi="Calibri" w:cs="Calibri"/>
        <w:b w:val="0"/>
        <w:i w:val="0"/>
        <w:strike w:val="0"/>
        <w:dstrike w:val="0"/>
        <w:color w:val="1A1A1A"/>
        <w:sz w:val="20"/>
        <w:szCs w:val="20"/>
        <w:u w:val="none" w:color="000000"/>
        <w:bdr w:val="none" w:sz="0" w:space="0" w:color="auto"/>
        <w:shd w:val="clear" w:color="auto" w:fill="auto"/>
        <w:vertAlign w:val="baseline"/>
      </w:rPr>
    </w:lvl>
    <w:lvl w:ilvl="6" w:tplc="DA1E42EE">
      <w:start w:val="1"/>
      <w:numFmt w:val="bullet"/>
      <w:lvlText w:val="•"/>
      <w:lvlJc w:val="left"/>
      <w:pPr>
        <w:ind w:left="4830"/>
      </w:pPr>
      <w:rPr>
        <w:rFonts w:ascii="Calibri" w:eastAsia="Calibri" w:hAnsi="Calibri" w:cs="Calibri"/>
        <w:b w:val="0"/>
        <w:i w:val="0"/>
        <w:strike w:val="0"/>
        <w:dstrike w:val="0"/>
        <w:color w:val="1A1A1A"/>
        <w:sz w:val="20"/>
        <w:szCs w:val="20"/>
        <w:u w:val="none" w:color="000000"/>
        <w:bdr w:val="none" w:sz="0" w:space="0" w:color="auto"/>
        <w:shd w:val="clear" w:color="auto" w:fill="auto"/>
        <w:vertAlign w:val="baseline"/>
      </w:rPr>
    </w:lvl>
    <w:lvl w:ilvl="7" w:tplc="1898D65E">
      <w:start w:val="1"/>
      <w:numFmt w:val="bullet"/>
      <w:lvlText w:val="o"/>
      <w:lvlJc w:val="left"/>
      <w:pPr>
        <w:ind w:left="5550"/>
      </w:pPr>
      <w:rPr>
        <w:rFonts w:ascii="Calibri" w:eastAsia="Calibri" w:hAnsi="Calibri" w:cs="Calibri"/>
        <w:b w:val="0"/>
        <w:i w:val="0"/>
        <w:strike w:val="0"/>
        <w:dstrike w:val="0"/>
        <w:color w:val="1A1A1A"/>
        <w:sz w:val="20"/>
        <w:szCs w:val="20"/>
        <w:u w:val="none" w:color="000000"/>
        <w:bdr w:val="none" w:sz="0" w:space="0" w:color="auto"/>
        <w:shd w:val="clear" w:color="auto" w:fill="auto"/>
        <w:vertAlign w:val="baseline"/>
      </w:rPr>
    </w:lvl>
    <w:lvl w:ilvl="8" w:tplc="54665848">
      <w:start w:val="1"/>
      <w:numFmt w:val="bullet"/>
      <w:lvlText w:val="▪"/>
      <w:lvlJc w:val="left"/>
      <w:pPr>
        <w:ind w:left="6270"/>
      </w:pPr>
      <w:rPr>
        <w:rFonts w:ascii="Calibri" w:eastAsia="Calibri" w:hAnsi="Calibri" w:cs="Calibri"/>
        <w:b w:val="0"/>
        <w:i w:val="0"/>
        <w:strike w:val="0"/>
        <w:dstrike w:val="0"/>
        <w:color w:val="1A1A1A"/>
        <w:sz w:val="20"/>
        <w:szCs w:val="20"/>
        <w:u w:val="none" w:color="000000"/>
        <w:bdr w:val="none" w:sz="0" w:space="0" w:color="auto"/>
        <w:shd w:val="clear" w:color="auto" w:fill="auto"/>
        <w:vertAlign w:val="baseline"/>
      </w:rPr>
    </w:lvl>
  </w:abstractNum>
  <w:abstractNum w:abstractNumId="3" w15:restartNumberingAfterBreak="0">
    <w:nsid w:val="5A054D63"/>
    <w:multiLevelType w:val="hybridMultilevel"/>
    <w:tmpl w:val="434C0B32"/>
    <w:lvl w:ilvl="0" w:tplc="DAE66D5A">
      <w:start w:val="1"/>
      <w:numFmt w:val="upperRoman"/>
      <w:pStyle w:val="Titre1"/>
      <w:lvlText w:val="%1"/>
      <w:lvlJc w:val="left"/>
      <w:pPr>
        <w:ind w:left="0"/>
      </w:pPr>
      <w:rPr>
        <w:rFonts w:ascii="Calibri" w:eastAsia="Calibri" w:hAnsi="Calibri" w:cs="Calibri"/>
        <w:b/>
        <w:bCs/>
        <w:i w:val="0"/>
        <w:strike w:val="0"/>
        <w:dstrike w:val="0"/>
        <w:color w:val="1B3A6B"/>
        <w:sz w:val="28"/>
        <w:szCs w:val="28"/>
        <w:u w:val="none" w:color="000000"/>
        <w:bdr w:val="none" w:sz="0" w:space="0" w:color="auto"/>
        <w:shd w:val="clear" w:color="auto" w:fill="auto"/>
        <w:vertAlign w:val="baseline"/>
      </w:rPr>
    </w:lvl>
    <w:lvl w:ilvl="1" w:tplc="B186E07A">
      <w:start w:val="1"/>
      <w:numFmt w:val="lowerLetter"/>
      <w:lvlText w:val="%2"/>
      <w:lvlJc w:val="left"/>
      <w:pPr>
        <w:ind w:left="1080"/>
      </w:pPr>
      <w:rPr>
        <w:rFonts w:ascii="Calibri" w:eastAsia="Calibri" w:hAnsi="Calibri" w:cs="Calibri"/>
        <w:b/>
        <w:bCs/>
        <w:i w:val="0"/>
        <w:strike w:val="0"/>
        <w:dstrike w:val="0"/>
        <w:color w:val="1B3A6B"/>
        <w:sz w:val="28"/>
        <w:szCs w:val="28"/>
        <w:u w:val="none" w:color="000000"/>
        <w:bdr w:val="none" w:sz="0" w:space="0" w:color="auto"/>
        <w:shd w:val="clear" w:color="auto" w:fill="auto"/>
        <w:vertAlign w:val="baseline"/>
      </w:rPr>
    </w:lvl>
    <w:lvl w:ilvl="2" w:tplc="41920A24">
      <w:start w:val="1"/>
      <w:numFmt w:val="lowerRoman"/>
      <w:lvlText w:val="%3"/>
      <w:lvlJc w:val="left"/>
      <w:pPr>
        <w:ind w:left="1800"/>
      </w:pPr>
      <w:rPr>
        <w:rFonts w:ascii="Calibri" w:eastAsia="Calibri" w:hAnsi="Calibri" w:cs="Calibri"/>
        <w:b/>
        <w:bCs/>
        <w:i w:val="0"/>
        <w:strike w:val="0"/>
        <w:dstrike w:val="0"/>
        <w:color w:val="1B3A6B"/>
        <w:sz w:val="28"/>
        <w:szCs w:val="28"/>
        <w:u w:val="none" w:color="000000"/>
        <w:bdr w:val="none" w:sz="0" w:space="0" w:color="auto"/>
        <w:shd w:val="clear" w:color="auto" w:fill="auto"/>
        <w:vertAlign w:val="baseline"/>
      </w:rPr>
    </w:lvl>
    <w:lvl w:ilvl="3" w:tplc="55E0F916">
      <w:start w:val="1"/>
      <w:numFmt w:val="decimal"/>
      <w:lvlText w:val="%4"/>
      <w:lvlJc w:val="left"/>
      <w:pPr>
        <w:ind w:left="2520"/>
      </w:pPr>
      <w:rPr>
        <w:rFonts w:ascii="Calibri" w:eastAsia="Calibri" w:hAnsi="Calibri" w:cs="Calibri"/>
        <w:b/>
        <w:bCs/>
        <w:i w:val="0"/>
        <w:strike w:val="0"/>
        <w:dstrike w:val="0"/>
        <w:color w:val="1B3A6B"/>
        <w:sz w:val="28"/>
        <w:szCs w:val="28"/>
        <w:u w:val="none" w:color="000000"/>
        <w:bdr w:val="none" w:sz="0" w:space="0" w:color="auto"/>
        <w:shd w:val="clear" w:color="auto" w:fill="auto"/>
        <w:vertAlign w:val="baseline"/>
      </w:rPr>
    </w:lvl>
    <w:lvl w:ilvl="4" w:tplc="5B1247BE">
      <w:start w:val="1"/>
      <w:numFmt w:val="lowerLetter"/>
      <w:lvlText w:val="%5"/>
      <w:lvlJc w:val="left"/>
      <w:pPr>
        <w:ind w:left="3240"/>
      </w:pPr>
      <w:rPr>
        <w:rFonts w:ascii="Calibri" w:eastAsia="Calibri" w:hAnsi="Calibri" w:cs="Calibri"/>
        <w:b/>
        <w:bCs/>
        <w:i w:val="0"/>
        <w:strike w:val="0"/>
        <w:dstrike w:val="0"/>
        <w:color w:val="1B3A6B"/>
        <w:sz w:val="28"/>
        <w:szCs w:val="28"/>
        <w:u w:val="none" w:color="000000"/>
        <w:bdr w:val="none" w:sz="0" w:space="0" w:color="auto"/>
        <w:shd w:val="clear" w:color="auto" w:fill="auto"/>
        <w:vertAlign w:val="baseline"/>
      </w:rPr>
    </w:lvl>
    <w:lvl w:ilvl="5" w:tplc="96D8791E">
      <w:start w:val="1"/>
      <w:numFmt w:val="lowerRoman"/>
      <w:lvlText w:val="%6"/>
      <w:lvlJc w:val="left"/>
      <w:pPr>
        <w:ind w:left="3960"/>
      </w:pPr>
      <w:rPr>
        <w:rFonts w:ascii="Calibri" w:eastAsia="Calibri" w:hAnsi="Calibri" w:cs="Calibri"/>
        <w:b/>
        <w:bCs/>
        <w:i w:val="0"/>
        <w:strike w:val="0"/>
        <w:dstrike w:val="0"/>
        <w:color w:val="1B3A6B"/>
        <w:sz w:val="28"/>
        <w:szCs w:val="28"/>
        <w:u w:val="none" w:color="000000"/>
        <w:bdr w:val="none" w:sz="0" w:space="0" w:color="auto"/>
        <w:shd w:val="clear" w:color="auto" w:fill="auto"/>
        <w:vertAlign w:val="baseline"/>
      </w:rPr>
    </w:lvl>
    <w:lvl w:ilvl="6" w:tplc="03ECF1D4">
      <w:start w:val="1"/>
      <w:numFmt w:val="decimal"/>
      <w:lvlText w:val="%7"/>
      <w:lvlJc w:val="left"/>
      <w:pPr>
        <w:ind w:left="4680"/>
      </w:pPr>
      <w:rPr>
        <w:rFonts w:ascii="Calibri" w:eastAsia="Calibri" w:hAnsi="Calibri" w:cs="Calibri"/>
        <w:b/>
        <w:bCs/>
        <w:i w:val="0"/>
        <w:strike w:val="0"/>
        <w:dstrike w:val="0"/>
        <w:color w:val="1B3A6B"/>
        <w:sz w:val="28"/>
        <w:szCs w:val="28"/>
        <w:u w:val="none" w:color="000000"/>
        <w:bdr w:val="none" w:sz="0" w:space="0" w:color="auto"/>
        <w:shd w:val="clear" w:color="auto" w:fill="auto"/>
        <w:vertAlign w:val="baseline"/>
      </w:rPr>
    </w:lvl>
    <w:lvl w:ilvl="7" w:tplc="E300F5E4">
      <w:start w:val="1"/>
      <w:numFmt w:val="lowerLetter"/>
      <w:lvlText w:val="%8"/>
      <w:lvlJc w:val="left"/>
      <w:pPr>
        <w:ind w:left="5400"/>
      </w:pPr>
      <w:rPr>
        <w:rFonts w:ascii="Calibri" w:eastAsia="Calibri" w:hAnsi="Calibri" w:cs="Calibri"/>
        <w:b/>
        <w:bCs/>
        <w:i w:val="0"/>
        <w:strike w:val="0"/>
        <w:dstrike w:val="0"/>
        <w:color w:val="1B3A6B"/>
        <w:sz w:val="28"/>
        <w:szCs w:val="28"/>
        <w:u w:val="none" w:color="000000"/>
        <w:bdr w:val="none" w:sz="0" w:space="0" w:color="auto"/>
        <w:shd w:val="clear" w:color="auto" w:fill="auto"/>
        <w:vertAlign w:val="baseline"/>
      </w:rPr>
    </w:lvl>
    <w:lvl w:ilvl="8" w:tplc="E35844E8">
      <w:start w:val="1"/>
      <w:numFmt w:val="lowerRoman"/>
      <w:lvlText w:val="%9"/>
      <w:lvlJc w:val="left"/>
      <w:pPr>
        <w:ind w:left="6120"/>
      </w:pPr>
      <w:rPr>
        <w:rFonts w:ascii="Calibri" w:eastAsia="Calibri" w:hAnsi="Calibri" w:cs="Calibri"/>
        <w:b/>
        <w:bCs/>
        <w:i w:val="0"/>
        <w:strike w:val="0"/>
        <w:dstrike w:val="0"/>
        <w:color w:val="1B3A6B"/>
        <w:sz w:val="28"/>
        <w:szCs w:val="28"/>
        <w:u w:val="none" w:color="000000"/>
        <w:bdr w:val="none" w:sz="0" w:space="0" w:color="auto"/>
        <w:shd w:val="clear" w:color="auto" w:fill="auto"/>
        <w:vertAlign w:val="baseline"/>
      </w:rPr>
    </w:lvl>
  </w:abstractNum>
  <w:abstractNum w:abstractNumId="4" w15:restartNumberingAfterBreak="0">
    <w:nsid w:val="6C426986"/>
    <w:multiLevelType w:val="hybridMultilevel"/>
    <w:tmpl w:val="1A908CB4"/>
    <w:lvl w:ilvl="0" w:tplc="376822A4">
      <w:start w:val="6"/>
      <w:numFmt w:val="decimal"/>
      <w:lvlText w:val="%1."/>
      <w:lvlJc w:val="left"/>
      <w:pPr>
        <w:ind w:left="222"/>
      </w:pPr>
      <w:rPr>
        <w:rFonts w:ascii="Calibri" w:eastAsia="Calibri" w:hAnsi="Calibri" w:cs="Calibri"/>
        <w:b/>
        <w:bCs/>
        <w:i w:val="0"/>
        <w:strike w:val="0"/>
        <w:dstrike w:val="0"/>
        <w:color w:val="1B3A6B"/>
        <w:sz w:val="22"/>
        <w:szCs w:val="22"/>
        <w:u w:val="none" w:color="000000"/>
        <w:bdr w:val="none" w:sz="0" w:space="0" w:color="auto"/>
        <w:shd w:val="clear" w:color="auto" w:fill="auto"/>
        <w:vertAlign w:val="baseline"/>
      </w:rPr>
    </w:lvl>
    <w:lvl w:ilvl="1" w:tplc="486EF49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C06A04">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760AF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F03B64">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AAC1DE">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32042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62C7AC">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E2E40C">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3777592"/>
    <w:multiLevelType w:val="hybridMultilevel"/>
    <w:tmpl w:val="42680A56"/>
    <w:lvl w:ilvl="0" w:tplc="F49C9346">
      <w:start w:val="1"/>
      <w:numFmt w:val="decimal"/>
      <w:lvlText w:val="%1."/>
      <w:lvlJc w:val="left"/>
      <w:pPr>
        <w:ind w:left="220"/>
      </w:pPr>
      <w:rPr>
        <w:rFonts w:ascii="Calibri" w:eastAsia="Calibri" w:hAnsi="Calibri" w:cs="Calibri"/>
        <w:b/>
        <w:bCs/>
        <w:i w:val="0"/>
        <w:strike w:val="0"/>
        <w:dstrike w:val="0"/>
        <w:color w:val="1B3A6B"/>
        <w:sz w:val="22"/>
        <w:szCs w:val="22"/>
        <w:u w:val="none" w:color="000000"/>
        <w:bdr w:val="none" w:sz="0" w:space="0" w:color="auto"/>
        <w:shd w:val="clear" w:color="auto" w:fill="auto"/>
        <w:vertAlign w:val="baseline"/>
      </w:rPr>
    </w:lvl>
    <w:lvl w:ilvl="1" w:tplc="50542F5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7004F4">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C8220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040A12">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72DADE">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303A2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26F64A">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5665FA">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20746136">
    <w:abstractNumId w:val="0"/>
  </w:num>
  <w:num w:numId="2" w16cid:durableId="1123884985">
    <w:abstractNumId w:val="5"/>
  </w:num>
  <w:num w:numId="3" w16cid:durableId="1790783397">
    <w:abstractNumId w:val="4"/>
  </w:num>
  <w:num w:numId="4" w16cid:durableId="1221937808">
    <w:abstractNumId w:val="2"/>
  </w:num>
  <w:num w:numId="5" w16cid:durableId="305941336">
    <w:abstractNumId w:val="1"/>
  </w:num>
  <w:num w:numId="6" w16cid:durableId="996954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3C"/>
    <w:rsid w:val="00370B73"/>
    <w:rsid w:val="005B0F50"/>
    <w:rsid w:val="008D337D"/>
    <w:rsid w:val="00B155A8"/>
    <w:rsid w:val="00C127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2FE9"/>
  <w15:docId w15:val="{89FAADFC-0F8C-4188-B946-F16E05C9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9" w:line="249" w:lineRule="auto"/>
      <w:ind w:left="10" w:hanging="10"/>
    </w:pPr>
    <w:rPr>
      <w:rFonts w:ascii="Calibri" w:eastAsia="Calibri" w:hAnsi="Calibri" w:cs="Calibri"/>
      <w:color w:val="1A1A1A"/>
      <w:sz w:val="22"/>
    </w:rPr>
  </w:style>
  <w:style w:type="paragraph" w:styleId="Titre1">
    <w:name w:val="heading 1"/>
    <w:next w:val="Normal"/>
    <w:link w:val="Titre1Car"/>
    <w:uiPriority w:val="9"/>
    <w:qFormat/>
    <w:pPr>
      <w:keepNext/>
      <w:keepLines/>
      <w:numPr>
        <w:numId w:val="6"/>
      </w:numPr>
      <w:spacing w:after="0" w:line="259" w:lineRule="auto"/>
      <w:ind w:left="10" w:hanging="10"/>
      <w:outlineLvl w:val="0"/>
    </w:pPr>
    <w:rPr>
      <w:rFonts w:ascii="Calibri" w:eastAsia="Calibri" w:hAnsi="Calibri" w:cs="Calibri"/>
      <w:b/>
      <w:color w:val="1B3A6B"/>
      <w:sz w:val="28"/>
    </w:rPr>
  </w:style>
  <w:style w:type="paragraph" w:styleId="Titre2">
    <w:name w:val="heading 2"/>
    <w:next w:val="Normal"/>
    <w:link w:val="Titre2Car"/>
    <w:uiPriority w:val="9"/>
    <w:unhideWhenUsed/>
    <w:qFormat/>
    <w:pPr>
      <w:keepNext/>
      <w:keepLines/>
      <w:spacing w:after="0" w:line="259" w:lineRule="auto"/>
      <w:ind w:left="10" w:hanging="10"/>
      <w:outlineLvl w:val="1"/>
    </w:pPr>
    <w:rPr>
      <w:rFonts w:ascii="Calibri" w:eastAsia="Calibri" w:hAnsi="Calibri" w:cs="Calibri"/>
      <w:b/>
      <w:color w:val="1B3A6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color w:val="1B3A6B"/>
      <w:sz w:val="24"/>
    </w:rPr>
  </w:style>
  <w:style w:type="character" w:customStyle="1" w:styleId="Titre1Car">
    <w:name w:val="Titre 1 Car"/>
    <w:link w:val="Titre1"/>
    <w:rPr>
      <w:rFonts w:ascii="Calibri" w:eastAsia="Calibri" w:hAnsi="Calibri" w:cs="Calibri"/>
      <w:b/>
      <w:color w:val="1B3A6B"/>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2435</Words>
  <Characters>13393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cp:lastModifiedBy>Alyzee UBERAI</cp:lastModifiedBy>
  <cp:revision>2</cp:revision>
  <dcterms:created xsi:type="dcterms:W3CDTF">2026-06-05T09:48:00Z</dcterms:created>
  <dcterms:modified xsi:type="dcterms:W3CDTF">2026-06-05T09:48:00Z</dcterms:modified>
</cp:coreProperties>
</file>